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jc w:val="center"/>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一、本拍卖规则依据《中华人民共和国拍卖法》、《中华人民共和国民法通则》、《中华人民共和国合同法》等相关法律法规和“公开、公平、公正、诚实信用”原则及价高者得规则制定。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firstLineChars="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宋体" w:hAnsi="宋体" w:eastAsia="宋体" w:cs="宋体"/>
          <w:b w:val="0"/>
          <w:bCs w:val="0"/>
          <w:i w:val="0"/>
          <w:caps w:val="0"/>
          <w:color w:val="333333"/>
          <w:spacing w:val="0"/>
          <w:kern w:val="0"/>
          <w:sz w:val="24"/>
          <w:szCs w:val="24"/>
          <w:u w:val="none"/>
          <w:shd w:val="clear" w:fill="FFFFFF"/>
          <w:lang w:val="en-US" w:eastAsia="zh-CN" w:bidi="ar"/>
        </w:rPr>
        <w:t>三、本场拍卖会的拍卖标的为</w:t>
      </w:r>
      <w:r>
        <w:rPr>
          <w:rFonts w:hint="eastAsia" w:ascii="宋体" w:hAnsi="宋体" w:eastAsia="宋体" w:cs="宋体"/>
          <w:b/>
          <w:bCs/>
          <w:sz w:val="24"/>
          <w:szCs w:val="24"/>
          <w:u w:val="single"/>
          <w:lang w:val="en-US" w:eastAsia="zh-CN"/>
        </w:rPr>
        <w:t>中国长城资产管理股份有限公司山东省分公司拥有的日照市永鑫塑料包装有限公司等40户债权（详见拍卖清单），截至2019年10月20日，债权总额为349,293,347.86元，其中：本金为308,252,018.69元，利息为41,041,329.17元(2019年10月20日之后产生的利息，以及与不良贷款债权相关的从权利亦在本次处置范围内)，现状拍卖。</w:t>
      </w:r>
      <w:bookmarkStart w:id="1" w:name="_GoBack"/>
      <w:bookmarkEnd w:id="1"/>
      <w:r>
        <w:rPr>
          <w:rFonts w:hint="eastAsia" w:ascii="宋体" w:hAnsi="宋体" w:eastAsia="宋体" w:cs="宋体"/>
          <w:b/>
          <w:bCs/>
          <w:i w:val="0"/>
          <w:caps w:val="0"/>
          <w:color w:val="333333"/>
          <w:spacing w:val="0"/>
          <w:kern w:val="0"/>
          <w:sz w:val="24"/>
          <w:szCs w:val="24"/>
          <w:u w:val="single"/>
          <w:shd w:val="clear" w:fill="FFFFFF"/>
          <w:lang w:val="en-US" w:eastAsia="zh-CN" w:bidi="ar"/>
        </w:rPr>
        <w:t>最终债权金额、担保等情况以委托人与买受人签署的《债权转让协议》和双方移交材料为准，拍卖人提供的相关资料仅供参考。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787" w:firstLineChars="328"/>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竞买人为信誉良好，能够承担购买债权所带来的风险，具有完全民事行为能力、支付能力的法人、组织或自然人。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fill="FFFFFF"/>
        </w:rPr>
        <w:t> 以下人员不得购买：</w:t>
      </w:r>
      <w:r>
        <w:rPr>
          <w:rFonts w:hint="eastAsia" w:ascii="宋体" w:hAnsi="宋体" w:eastAsia="宋体" w:cs="宋体"/>
          <w:i w:val="0"/>
          <w:caps w:val="0"/>
          <w:color w:val="333333"/>
          <w:spacing w:val="0"/>
          <w:sz w:val="24"/>
          <w:szCs w:val="24"/>
          <w:shd w:val="clear" w:color="auto" w:fill="FFFFFF"/>
          <w:lang w:eastAsia="zh-CN"/>
        </w:rPr>
        <w:t>根据</w:t>
      </w:r>
      <w:r>
        <w:rPr>
          <w:rFonts w:hint="eastAsia" w:ascii="宋体" w:hAnsi="宋体" w:eastAsia="宋体" w:cs="宋体"/>
          <w:i w:val="0"/>
          <w:caps w:val="0"/>
          <w:color w:val="333333"/>
          <w:spacing w:val="0"/>
          <w:sz w:val="24"/>
          <w:szCs w:val="24"/>
          <w:shd w:val="clear" w:color="auto" w:fill="FFFFFF"/>
        </w:rPr>
        <w:t>最高人民法院《关于审理涉及金融不良债权转让案件工作座谈会纪要》所规定</w:t>
      </w:r>
      <w:r>
        <w:rPr>
          <w:rFonts w:hint="eastAsia" w:ascii="宋体" w:hAnsi="宋体" w:eastAsia="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与本次“不良债权转让的金融资产管理公司工作人员、国有企业债务人或者受托资产评估机构负责人员等”存在任何直系亲属关系</w:t>
      </w:r>
      <w:r>
        <w:rPr>
          <w:rFonts w:hint="eastAsia" w:ascii="宋体" w:hAnsi="宋体" w:eastAsia="宋体" w:cs="宋体"/>
          <w:i w:val="0"/>
          <w:caps w:val="0"/>
          <w:color w:val="333333"/>
          <w:spacing w:val="0"/>
          <w:sz w:val="24"/>
          <w:szCs w:val="24"/>
          <w:shd w:val="clear" w:color="auto" w:fill="FFFFFF"/>
          <w:lang w:eastAsia="zh-CN"/>
        </w:rPr>
        <w:t>人员</w:t>
      </w:r>
      <w:r>
        <w:rPr>
          <w:rFonts w:hint="eastAsia" w:ascii="宋体" w:hAnsi="宋体" w:eastAsia="宋体" w:cs="宋体"/>
          <w:i w:val="0"/>
          <w:caps w:val="0"/>
          <w:color w:val="333333"/>
          <w:spacing w:val="0"/>
          <w:sz w:val="24"/>
          <w:szCs w:val="24"/>
          <w:shd w:val="clear" w:color="auto" w:fill="FFFFFF"/>
        </w:rPr>
        <w:t>等</w:t>
      </w:r>
      <w:r>
        <w:rPr>
          <w:rFonts w:hint="eastAsia" w:ascii="宋体" w:hAnsi="宋体" w:eastAsia="宋体" w:cs="宋体"/>
          <w:i w:val="0"/>
          <w:caps w:val="0"/>
          <w:color w:val="333333"/>
          <w:spacing w:val="0"/>
          <w:sz w:val="24"/>
          <w:szCs w:val="24"/>
          <w:shd w:val="clear" w:color="auto"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竞买不成功的，保证金在拍卖会后</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eastAsia="宋体" w:cs="宋体"/>
          <w:i w:val="0"/>
          <w:caps w:val="0"/>
          <w:color w:val="333333"/>
          <w:spacing w:val="0"/>
          <w:sz w:val="24"/>
          <w:szCs w:val="24"/>
          <w:shd w:val="clear" w:fill="FFFFFF"/>
        </w:rPr>
        <w:t>内退还，不计息</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w:t>
      </w:r>
      <w:r>
        <w:rPr>
          <w:rFonts w:hint="eastAsia" w:ascii="宋体" w:hAnsi="宋体" w:cs="宋体"/>
          <w:sz w:val="24"/>
          <w:szCs w:val="24"/>
          <w:lang w:val="en-US" w:eastAsia="zh-CN"/>
        </w:rPr>
        <w:t>在拍卖会后2个工作日内</w:t>
      </w:r>
      <w:r>
        <w:rPr>
          <w:rFonts w:hint="eastAsia" w:ascii="宋体" w:hAnsi="宋体" w:eastAsia="宋体" w:cs="宋体"/>
          <w:i w:val="0"/>
          <w:caps w:val="0"/>
          <w:color w:val="333333"/>
          <w:spacing w:val="0"/>
          <w:sz w:val="24"/>
          <w:szCs w:val="24"/>
          <w:shd w:val="clear" w:fill="FFFFFF"/>
        </w:rPr>
        <w:t>与拍卖人签订《拍卖成交确认书》，未能签署的不影响成交效力，以网络拍卖平台确认为准。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default" w:ascii="微软雅黑" w:hAnsi="微软雅黑" w:eastAsia="宋体" w:cs="微软雅黑"/>
          <w:i w:val="0"/>
          <w:caps w:val="0"/>
          <w:color w:val="333333"/>
          <w:spacing w:val="0"/>
          <w:sz w:val="21"/>
          <w:szCs w:val="21"/>
          <w:lang w:val="en-US" w:eastAsia="zh-CN"/>
        </w:rPr>
      </w:pPr>
      <w:r>
        <w:rPr>
          <w:rFonts w:hint="eastAsia" w:ascii="宋体" w:hAnsi="宋体" w:eastAsia="宋体" w:cs="宋体"/>
          <w:i w:val="0"/>
          <w:caps w:val="0"/>
          <w:color w:val="333333"/>
          <w:spacing w:val="0"/>
          <w:sz w:val="24"/>
          <w:szCs w:val="24"/>
          <w:shd w:val="clear" w:fill="FFFFFF"/>
        </w:rPr>
        <w:t>八、拍卖成交后，买受人</w:t>
      </w:r>
      <w:r>
        <w:rPr>
          <w:rFonts w:hint="eastAsia" w:ascii="宋体" w:hAnsi="宋体" w:cs="宋体"/>
          <w:sz w:val="24"/>
          <w:szCs w:val="24"/>
          <w:lang w:val="en-US" w:eastAsia="zh-CN"/>
        </w:rPr>
        <w:t>需在《拍卖成交确认书》签署7个工作日</w:t>
      </w:r>
      <w:r>
        <w:rPr>
          <w:rFonts w:hint="eastAsia" w:ascii="宋体" w:hAnsi="宋体" w:eastAsia="宋体" w:cs="宋体"/>
          <w:i w:val="0"/>
          <w:caps w:val="0"/>
          <w:color w:val="333333"/>
          <w:spacing w:val="0"/>
          <w:sz w:val="24"/>
          <w:szCs w:val="24"/>
          <w:shd w:val="clear" w:fill="FFFFFF"/>
        </w:rPr>
        <w:t>内将全部拍卖成交价款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支付到指定的帐户，并与委托人签署《</w:t>
      </w:r>
      <w:r>
        <w:rPr>
          <w:rFonts w:hint="eastAsia" w:ascii="宋体" w:hAnsi="宋体" w:cs="宋体"/>
          <w:i w:val="0"/>
          <w:caps w:val="0"/>
          <w:color w:val="333333"/>
          <w:spacing w:val="0"/>
          <w:sz w:val="24"/>
          <w:szCs w:val="24"/>
          <w:shd w:val="clear" w:fill="FFFFFF"/>
          <w:lang w:val="en-US" w:eastAsia="zh-CN"/>
        </w:rPr>
        <w:t>债权转让协议</w:t>
      </w:r>
      <w:r>
        <w:rPr>
          <w:rFonts w:hint="eastAsia" w:ascii="宋体" w:hAnsi="宋体" w:eastAsia="宋体" w:cs="宋体"/>
          <w:i w:val="0"/>
          <w:caps w:val="0"/>
          <w:color w:val="333333"/>
          <w:spacing w:val="0"/>
          <w:sz w:val="24"/>
          <w:szCs w:val="24"/>
          <w:shd w:val="clear" w:fill="FFFFFF"/>
        </w:rPr>
        <w:t>》</w:t>
      </w:r>
      <w:r>
        <w:rPr>
          <w:rFonts w:hint="eastAsia" w:ascii="宋体" w:hAnsi="宋体" w:cs="宋体"/>
          <w:i w:val="0"/>
          <w:caps w:val="0"/>
          <w:color w:val="333333"/>
          <w:spacing w:val="0"/>
          <w:sz w:val="24"/>
          <w:szCs w:val="24"/>
          <w:shd w:val="clear"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2、买受人逾期或拒绝签订《拍卖成交确认书》、《</w:t>
      </w:r>
      <w:r>
        <w:rPr>
          <w:rFonts w:hint="eastAsia" w:ascii="宋体" w:hAnsi="宋体" w:cs="宋体"/>
          <w:i w:val="0"/>
          <w:caps w:val="0"/>
          <w:color w:val="333333"/>
          <w:spacing w:val="0"/>
          <w:sz w:val="24"/>
          <w:szCs w:val="24"/>
          <w:shd w:val="clear" w:fill="FFFFFF"/>
          <w:lang w:val="en-US" w:eastAsia="zh-CN"/>
        </w:rPr>
        <w:t>债权转让协议</w:t>
      </w:r>
      <w:r>
        <w:rPr>
          <w:rFonts w:hint="eastAsia" w:ascii="宋体" w:hAnsi="宋体" w:eastAsia="宋体" w:cs="宋体"/>
          <w:i w:val="0"/>
          <w:caps w:val="0"/>
          <w:color w:val="333333"/>
          <w:spacing w:val="0"/>
          <w:sz w:val="24"/>
          <w:szCs w:val="24"/>
          <w:shd w:val="clear" w:fill="FFFFFF"/>
        </w:rPr>
        <w:t>》的；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3、买受人逾期或拒绝按照《拍卖成交确认书》的约定支付拍卖成交价款</w:t>
      </w:r>
      <w:r>
        <w:rPr>
          <w:rFonts w:hint="eastAsia" w:ascii="宋体" w:hAnsi="宋体" w:cs="宋体"/>
          <w:i w:val="0"/>
          <w:caps w:val="0"/>
          <w:color w:val="333333"/>
          <w:spacing w:val="0"/>
          <w:sz w:val="24"/>
          <w:szCs w:val="24"/>
          <w:shd w:val="clear" w:fill="FFFFFF"/>
          <w:lang w:val="en-US" w:eastAsia="zh-CN"/>
        </w:rPr>
        <w:t>及佣金的</w:t>
      </w:r>
      <w:r>
        <w:rPr>
          <w:rFonts w:hint="eastAsia" w:ascii="宋体" w:hAnsi="宋体" w:eastAsia="宋体" w:cs="宋体"/>
          <w:i w:val="0"/>
          <w:caps w:val="0"/>
          <w:color w:val="333333"/>
          <w:spacing w:val="0"/>
          <w:sz w:val="24"/>
          <w:szCs w:val="24"/>
          <w:shd w:val="clear" w:fill="FFFFFF"/>
        </w:rPr>
        <w:t>。</w:t>
      </w:r>
    </w:p>
    <w:p>
      <w:pPr>
        <w:pStyle w:val="4"/>
        <w:keepNext w:val="0"/>
        <w:keepLines w:val="0"/>
        <w:pageBreakBefore w:val="0"/>
        <w:kinsoku/>
        <w:wordWrap/>
        <w:overflowPunct/>
        <w:topLinePunct w:val="0"/>
        <w:autoSpaceDE/>
        <w:autoSpaceDN/>
        <w:bidi w:val="0"/>
        <w:adjustRightInd/>
        <w:snapToGrid/>
        <w:spacing w:line="420" w:lineRule="exact"/>
        <w:ind w:left="0" w:leftChars="0" w:right="0" w:rightChars="0" w:firstLine="461"/>
        <w:textAlignment w:val="auto"/>
        <w:outlineLvl w:val="9"/>
        <w:rPr>
          <w:rFonts w:hint="eastAsia" w:ascii="微软雅黑" w:hAnsi="微软雅黑" w:eastAsia="微软雅黑" w:cs="微软雅黑"/>
          <w:i w:val="0"/>
          <w:caps w:val="0"/>
          <w:color w:val="333333"/>
          <w:spacing w:val="0"/>
          <w:sz w:val="21"/>
          <w:szCs w:val="21"/>
        </w:rPr>
      </w:pPr>
      <w:r>
        <w:rPr>
          <w:rFonts w:hint="eastAsia" w:ascii="宋体" w:hAnsi="宋体" w:eastAsia="宋体" w:cs="宋体"/>
          <w:sz w:val="24"/>
          <w:szCs w:val="24"/>
        </w:rPr>
        <w:t>买受人违约的，委托人和拍卖人有权取消其买受人资格</w:t>
      </w:r>
      <w:r>
        <w:rPr>
          <w:rFonts w:hint="eastAsia" w:ascii="宋体" w:hAnsi="宋体" w:eastAsia="宋体" w:cs="宋体"/>
          <w:sz w:val="24"/>
          <w:szCs w:val="24"/>
          <w:lang w:eastAsia="zh-CN"/>
        </w:rPr>
        <w:t>，</w:t>
      </w:r>
      <w:r>
        <w:rPr>
          <w:rFonts w:hint="eastAsia" w:cs="宋体"/>
          <w:sz w:val="24"/>
          <w:szCs w:val="24"/>
          <w:lang w:val="en-US" w:eastAsia="zh-CN"/>
        </w:rPr>
        <w:t>履约保证金扣除佣金后剩余部分</w:t>
      </w:r>
      <w:r>
        <w:rPr>
          <w:rFonts w:hint="eastAsia" w:ascii="宋体" w:hAnsi="宋体" w:eastAsia="宋体" w:cs="宋体"/>
          <w:sz w:val="24"/>
          <w:szCs w:val="24"/>
          <w:lang w:eastAsia="zh-CN"/>
        </w:rPr>
        <w:t>转为违约金</w:t>
      </w:r>
      <w:r>
        <w:rPr>
          <w:rFonts w:hint="eastAsia" w:cs="宋体"/>
          <w:sz w:val="24"/>
          <w:szCs w:val="24"/>
          <w:lang w:val="en-US" w:eastAsia="zh-CN"/>
        </w:rPr>
        <w:t>不再退还</w:t>
      </w:r>
      <w:r>
        <w:rPr>
          <w:rFonts w:hint="eastAsia" w:ascii="宋体" w:hAnsi="宋体" w:eastAsia="宋体" w:cs="宋体"/>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w:t>
      </w:r>
      <w:r>
        <w:rPr>
          <w:rFonts w:hint="eastAsia" w:ascii="宋体" w:hAnsi="宋体" w:cs="宋体"/>
          <w:i w:val="0"/>
          <w:caps w:val="0"/>
          <w:color w:val="333333"/>
          <w:spacing w:val="0"/>
          <w:sz w:val="24"/>
          <w:szCs w:val="24"/>
          <w:shd w:val="clear" w:fill="FFFFFF"/>
          <w:lang w:val="en-US" w:eastAsia="zh-CN"/>
        </w:rPr>
        <w:t>及</w:t>
      </w:r>
      <w:r>
        <w:rPr>
          <w:rFonts w:hint="eastAsia" w:ascii="宋体" w:hAnsi="宋体" w:eastAsia="宋体" w:cs="宋体"/>
          <w:i w:val="0"/>
          <w:caps w:val="0"/>
          <w:color w:val="333333"/>
          <w:spacing w:val="0"/>
          <w:sz w:val="24"/>
          <w:szCs w:val="24"/>
          <w:shd w:val="clear" w:fill="FFFFFF"/>
        </w:rPr>
        <w:t>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right"/>
        <w:textAlignment w:val="auto"/>
        <w:outlineLvl w:val="9"/>
        <w:rPr>
          <w:rFonts w:hint="eastAsia" w:ascii="宋体" w:hAnsi="宋体" w:eastAsia="宋体" w:cs="宋体"/>
          <w:color w:val="000000"/>
          <w:sz w:val="28"/>
          <w:szCs w:val="28"/>
        </w:rPr>
      </w:pPr>
    </w:p>
    <w:p>
      <w:pPr>
        <w:keepNext w:val="0"/>
        <w:keepLines w:val="0"/>
        <w:pageBreakBefore w:val="0"/>
        <w:kinsoku/>
        <w:wordWrap/>
        <w:overflowPunct/>
        <w:topLinePunct w:val="0"/>
        <w:autoSpaceDE/>
        <w:autoSpaceDN/>
        <w:bidi w:val="0"/>
        <w:adjustRightInd/>
        <w:snapToGrid/>
        <w:spacing w:line="420" w:lineRule="exact"/>
        <w:ind w:firstLine="482" w:firstLineChars="200"/>
        <w:jc w:val="left"/>
        <w:textAlignment w:val="auto"/>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keepNext w:val="0"/>
        <w:keepLines w:val="0"/>
        <w:pageBreakBefore w:val="0"/>
        <w:kinsoku/>
        <w:wordWrap/>
        <w:overflowPunct/>
        <w:topLinePunct w:val="0"/>
        <w:autoSpaceDE/>
        <w:autoSpaceDN/>
        <w:bidi w:val="0"/>
        <w:adjustRightInd/>
        <w:snapToGrid/>
        <w:spacing w:line="420" w:lineRule="exact"/>
        <w:ind w:firstLine="562" w:firstLineChars="200"/>
        <w:jc w:val="right"/>
        <w:textAlignment w:val="auto"/>
        <w:rPr>
          <w:rFonts w:hint="eastAsia" w:ascii="仿宋" w:hAnsi="仿宋" w:eastAsia="仿宋"/>
          <w:color w:val="000000"/>
          <w:sz w:val="28"/>
          <w:szCs w:val="28"/>
        </w:rPr>
      </w:pPr>
      <w:r>
        <w:rPr>
          <w:rFonts w:hint="eastAsia" w:ascii="仿宋" w:hAnsi="仿宋" w:eastAsia="仿宋" w:cs="仿宋"/>
          <w:b/>
          <w:bCs/>
          <w:color w:val="000000"/>
          <w:sz w:val="28"/>
          <w:szCs w:val="28"/>
        </w:rPr>
        <w:t>二O二O年</w:t>
      </w: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二十五</w:t>
      </w:r>
      <w:r>
        <w:rPr>
          <w:rFonts w:hint="eastAsia" w:ascii="仿宋" w:hAnsi="仿宋" w:eastAsia="仿宋" w:cs="仿宋"/>
          <w:b/>
          <w:bCs/>
          <w:color w:val="000000"/>
          <w:sz w:val="28"/>
          <w:szCs w:val="28"/>
        </w:rPr>
        <w:t>日</w:t>
      </w:r>
      <w:r>
        <w:rPr>
          <w:rFonts w:hint="eastAsia" w:ascii="仿宋" w:hAnsi="仿宋" w:eastAsia="仿宋" w:cs="仿宋"/>
          <w:b/>
          <w:bCs/>
          <w:i w:val="0"/>
          <w:caps w:val="0"/>
          <w:color w:val="333333"/>
          <w:spacing w:val="0"/>
          <w:kern w:val="0"/>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p>
    <w:bookmarkEnd w:id="0"/>
    <w:p>
      <w:pPr>
        <w:keepNext w:val="0"/>
        <w:keepLines w:val="0"/>
        <w:pageBreakBefore w:val="0"/>
        <w:tabs>
          <w:tab w:val="left" w:pos="2520"/>
        </w:tabs>
        <w:kinsoku/>
        <w:wordWrap w:val="0"/>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color w:val="000000"/>
          <w:sz w:val="24"/>
          <w:szCs w:val="24"/>
        </w:rPr>
      </w:pPr>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15A2E05"/>
    <w:rsid w:val="02AF1D28"/>
    <w:rsid w:val="0385359F"/>
    <w:rsid w:val="04014823"/>
    <w:rsid w:val="04F87B2A"/>
    <w:rsid w:val="05C81FBC"/>
    <w:rsid w:val="067F08FD"/>
    <w:rsid w:val="06893D04"/>
    <w:rsid w:val="069E0690"/>
    <w:rsid w:val="07301B33"/>
    <w:rsid w:val="07DE5025"/>
    <w:rsid w:val="07FA599B"/>
    <w:rsid w:val="08914EF3"/>
    <w:rsid w:val="09E45ACF"/>
    <w:rsid w:val="0A603B75"/>
    <w:rsid w:val="0A635A27"/>
    <w:rsid w:val="0AAA5A38"/>
    <w:rsid w:val="0CCB71DE"/>
    <w:rsid w:val="0CFF139B"/>
    <w:rsid w:val="0D3C294A"/>
    <w:rsid w:val="0D48694B"/>
    <w:rsid w:val="0DB967DB"/>
    <w:rsid w:val="0DD76853"/>
    <w:rsid w:val="0F9120C8"/>
    <w:rsid w:val="0FD37BF6"/>
    <w:rsid w:val="10EC3455"/>
    <w:rsid w:val="12D92771"/>
    <w:rsid w:val="1321032B"/>
    <w:rsid w:val="172511D3"/>
    <w:rsid w:val="1733612F"/>
    <w:rsid w:val="17BF6828"/>
    <w:rsid w:val="182E1E94"/>
    <w:rsid w:val="187F1529"/>
    <w:rsid w:val="19832055"/>
    <w:rsid w:val="1B0C61E2"/>
    <w:rsid w:val="1B405B91"/>
    <w:rsid w:val="1BA00982"/>
    <w:rsid w:val="1BD821C9"/>
    <w:rsid w:val="1C901686"/>
    <w:rsid w:val="1CA84CCA"/>
    <w:rsid w:val="1EEA2886"/>
    <w:rsid w:val="1F2D6B9F"/>
    <w:rsid w:val="1F4320CE"/>
    <w:rsid w:val="1F587512"/>
    <w:rsid w:val="1F9A2CE3"/>
    <w:rsid w:val="201B5713"/>
    <w:rsid w:val="20205569"/>
    <w:rsid w:val="205A56BD"/>
    <w:rsid w:val="221A449A"/>
    <w:rsid w:val="22497819"/>
    <w:rsid w:val="22563396"/>
    <w:rsid w:val="22FF766C"/>
    <w:rsid w:val="23383A2C"/>
    <w:rsid w:val="23730E85"/>
    <w:rsid w:val="242E24DC"/>
    <w:rsid w:val="24894950"/>
    <w:rsid w:val="25863755"/>
    <w:rsid w:val="261847C7"/>
    <w:rsid w:val="265A5AD5"/>
    <w:rsid w:val="27CD1DE1"/>
    <w:rsid w:val="285C17EC"/>
    <w:rsid w:val="28A52C94"/>
    <w:rsid w:val="2AC73E73"/>
    <w:rsid w:val="2ADC6FEB"/>
    <w:rsid w:val="2C926EF8"/>
    <w:rsid w:val="2D4C18D0"/>
    <w:rsid w:val="2D862465"/>
    <w:rsid w:val="2DE65774"/>
    <w:rsid w:val="2E5E3276"/>
    <w:rsid w:val="2F5312A2"/>
    <w:rsid w:val="308D4317"/>
    <w:rsid w:val="30AC0358"/>
    <w:rsid w:val="30AC207D"/>
    <w:rsid w:val="30C112B0"/>
    <w:rsid w:val="30F31E4D"/>
    <w:rsid w:val="34D71581"/>
    <w:rsid w:val="36203E85"/>
    <w:rsid w:val="36500FCC"/>
    <w:rsid w:val="37387C94"/>
    <w:rsid w:val="39242E96"/>
    <w:rsid w:val="3969123A"/>
    <w:rsid w:val="3C066E16"/>
    <w:rsid w:val="3C4F5DCE"/>
    <w:rsid w:val="3DB630F2"/>
    <w:rsid w:val="3EC15928"/>
    <w:rsid w:val="3FDC3784"/>
    <w:rsid w:val="40CA336D"/>
    <w:rsid w:val="42390C4C"/>
    <w:rsid w:val="43DD537B"/>
    <w:rsid w:val="44367803"/>
    <w:rsid w:val="44521830"/>
    <w:rsid w:val="44B64AA4"/>
    <w:rsid w:val="44BC4669"/>
    <w:rsid w:val="44BD2398"/>
    <w:rsid w:val="4727286F"/>
    <w:rsid w:val="47D95691"/>
    <w:rsid w:val="48081958"/>
    <w:rsid w:val="48316BCD"/>
    <w:rsid w:val="48BB28F5"/>
    <w:rsid w:val="493321DB"/>
    <w:rsid w:val="49522183"/>
    <w:rsid w:val="49547170"/>
    <w:rsid w:val="4B5F3E20"/>
    <w:rsid w:val="4C4D1DAA"/>
    <w:rsid w:val="4C825254"/>
    <w:rsid w:val="4D531834"/>
    <w:rsid w:val="4D674DB9"/>
    <w:rsid w:val="4E2F6425"/>
    <w:rsid w:val="4E8F3C84"/>
    <w:rsid w:val="508D4606"/>
    <w:rsid w:val="50BE54B7"/>
    <w:rsid w:val="51E8387D"/>
    <w:rsid w:val="54020070"/>
    <w:rsid w:val="55CF367F"/>
    <w:rsid w:val="56377E31"/>
    <w:rsid w:val="56A039E6"/>
    <w:rsid w:val="57012BD2"/>
    <w:rsid w:val="5726074A"/>
    <w:rsid w:val="587B6098"/>
    <w:rsid w:val="59174676"/>
    <w:rsid w:val="597F7BCF"/>
    <w:rsid w:val="5BCB7EDE"/>
    <w:rsid w:val="5BFE4B6D"/>
    <w:rsid w:val="5C057000"/>
    <w:rsid w:val="5C1E1110"/>
    <w:rsid w:val="5C5B34A8"/>
    <w:rsid w:val="5C7F41B3"/>
    <w:rsid w:val="5C836238"/>
    <w:rsid w:val="5CD965D6"/>
    <w:rsid w:val="5D3600A3"/>
    <w:rsid w:val="5D447242"/>
    <w:rsid w:val="5D9A4840"/>
    <w:rsid w:val="5DCA14BC"/>
    <w:rsid w:val="5EB30786"/>
    <w:rsid w:val="5F4E66FD"/>
    <w:rsid w:val="5F8F6EFD"/>
    <w:rsid w:val="5FB63591"/>
    <w:rsid w:val="60E10066"/>
    <w:rsid w:val="60F352BD"/>
    <w:rsid w:val="61E47313"/>
    <w:rsid w:val="62332BA5"/>
    <w:rsid w:val="62625FBF"/>
    <w:rsid w:val="62FD3BB6"/>
    <w:rsid w:val="630920CD"/>
    <w:rsid w:val="63E135F8"/>
    <w:rsid w:val="64EF4089"/>
    <w:rsid w:val="65603FBA"/>
    <w:rsid w:val="65C46A55"/>
    <w:rsid w:val="660548E3"/>
    <w:rsid w:val="66144BF5"/>
    <w:rsid w:val="662E2B92"/>
    <w:rsid w:val="679601EE"/>
    <w:rsid w:val="68F26432"/>
    <w:rsid w:val="69375DE8"/>
    <w:rsid w:val="6A9928BD"/>
    <w:rsid w:val="6AF456DC"/>
    <w:rsid w:val="6F11494C"/>
    <w:rsid w:val="6FA86998"/>
    <w:rsid w:val="713D786D"/>
    <w:rsid w:val="71752F89"/>
    <w:rsid w:val="73951CAC"/>
    <w:rsid w:val="75250F8C"/>
    <w:rsid w:val="75934701"/>
    <w:rsid w:val="75B262FB"/>
    <w:rsid w:val="75D80883"/>
    <w:rsid w:val="76AF4D57"/>
    <w:rsid w:val="784E46E3"/>
    <w:rsid w:val="7A9D0A25"/>
    <w:rsid w:val="7D0A744E"/>
    <w:rsid w:val="7D447F01"/>
    <w:rsid w:val="7DA87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2</TotalTime>
  <ScaleCrop>false</ScaleCrop>
  <LinksUpToDate>false</LinksUpToDate>
  <CharactersWithSpaces>1840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hongl</cp:lastModifiedBy>
  <cp:lastPrinted>2019-01-12T06:59:00Z</cp:lastPrinted>
  <dcterms:modified xsi:type="dcterms:W3CDTF">2020-05-22T06:47:34Z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