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买</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须</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知</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snapToGrid/>
        <w:spacing w:line="240" w:lineRule="auto"/>
        <w:ind w:firstLine="560" w:firstLineChars="200"/>
        <w:rPr>
          <w:rFonts w:hint="eastAsia" w:ascii="仿宋" w:hAnsi="仿宋" w:eastAsia="仿宋" w:cs="仿宋"/>
          <w:b/>
          <w:bCs/>
          <w:i w:val="0"/>
          <w:caps w:val="0"/>
          <w:color w:val="auto"/>
          <w:spacing w:val="0"/>
          <w:kern w:val="2"/>
          <w:sz w:val="28"/>
          <w:szCs w:val="28"/>
          <w:u w:val="single"/>
          <w:shd w:val="clear" w:fill="auto"/>
          <w:lang w:val="en-US" w:eastAsia="zh-CN" w:bidi="ar"/>
        </w:rPr>
      </w:pPr>
      <w:r>
        <w:rPr>
          <w:rFonts w:hint="eastAsia" w:ascii="仿宋" w:hAnsi="仿宋" w:eastAsia="仿宋" w:cs="仿宋"/>
          <w:color w:val="auto"/>
          <w:sz w:val="28"/>
          <w:szCs w:val="28"/>
          <w:lang w:eastAsia="zh-CN"/>
        </w:rPr>
        <w:t>拍卖标的：</w:t>
      </w:r>
      <w:r>
        <w:rPr>
          <w:rFonts w:hint="eastAsia" w:ascii="仿宋" w:hAnsi="仿宋" w:eastAsia="仿宋" w:cs="仿宋"/>
          <w:b/>
          <w:bCs/>
          <w:i w:val="0"/>
          <w:caps w:val="0"/>
          <w:color w:val="auto"/>
          <w:spacing w:val="0"/>
          <w:kern w:val="2"/>
          <w:sz w:val="28"/>
          <w:szCs w:val="28"/>
          <w:u w:val="single"/>
          <w:shd w:val="clear" w:fill="auto"/>
          <w:lang w:val="en-US" w:eastAsia="zh-CN" w:bidi="ar"/>
        </w:rPr>
        <w:t>中国长城资产管理股份有限公司山东省分公司拥有的</w:t>
      </w:r>
      <w:r>
        <w:rPr>
          <w:rFonts w:hint="eastAsia" w:ascii="仿宋" w:hAnsi="仿宋" w:eastAsia="仿宋" w:cs="仿宋"/>
          <w:b/>
          <w:bCs/>
          <w:color w:val="auto"/>
          <w:sz w:val="28"/>
          <w:szCs w:val="28"/>
          <w:u w:val="single"/>
          <w:shd w:val="clear" w:fill="auto"/>
          <w:lang w:eastAsia="zh-CN" w:bidi="ar"/>
        </w:rPr>
        <w:t>山东五谷园油脂有限公司</w:t>
      </w:r>
      <w:r>
        <w:rPr>
          <w:rFonts w:hint="eastAsia" w:ascii="仿宋" w:hAnsi="仿宋" w:eastAsia="仿宋" w:cs="仿宋"/>
          <w:b/>
          <w:bCs/>
          <w:color w:val="auto"/>
          <w:sz w:val="28"/>
          <w:szCs w:val="28"/>
          <w:u w:val="single"/>
          <w:shd w:val="clear" w:fill="auto"/>
          <w:lang w:bidi="ar"/>
        </w:rPr>
        <w:t>债权，截至</w:t>
      </w:r>
      <w:r>
        <w:rPr>
          <w:rFonts w:hint="eastAsia" w:ascii="仿宋" w:hAnsi="仿宋" w:eastAsia="仿宋" w:cs="仿宋"/>
          <w:b/>
          <w:bCs/>
          <w:color w:val="auto"/>
          <w:sz w:val="28"/>
          <w:szCs w:val="28"/>
          <w:u w:val="single"/>
          <w:shd w:val="clear" w:fill="auto"/>
          <w:lang w:eastAsia="zh-CN" w:bidi="ar"/>
        </w:rPr>
        <w:t>2021年</w:t>
      </w:r>
      <w:r>
        <w:rPr>
          <w:rFonts w:hint="eastAsia" w:ascii="仿宋" w:hAnsi="仿宋" w:eastAsia="仿宋" w:cs="仿宋"/>
          <w:b/>
          <w:bCs/>
          <w:color w:val="auto"/>
          <w:sz w:val="28"/>
          <w:szCs w:val="28"/>
          <w:u w:val="single"/>
          <w:shd w:val="clear" w:fill="auto"/>
          <w:lang w:val="en-US" w:eastAsia="zh-CN" w:bidi="ar"/>
        </w:rPr>
        <w:t>3</w:t>
      </w:r>
      <w:r>
        <w:rPr>
          <w:rFonts w:hint="eastAsia" w:ascii="仿宋" w:hAnsi="仿宋" w:eastAsia="仿宋" w:cs="仿宋"/>
          <w:b/>
          <w:bCs/>
          <w:color w:val="auto"/>
          <w:sz w:val="28"/>
          <w:szCs w:val="28"/>
          <w:u w:val="single"/>
          <w:shd w:val="clear" w:fill="auto"/>
          <w:lang w:eastAsia="zh-CN" w:bidi="ar"/>
        </w:rPr>
        <w:t>月20日，</w:t>
      </w:r>
      <w:r>
        <w:rPr>
          <w:rFonts w:hint="eastAsia" w:ascii="仿宋" w:hAnsi="仿宋" w:eastAsia="仿宋" w:cs="仿宋"/>
          <w:b/>
          <w:bCs/>
          <w:color w:val="auto"/>
          <w:sz w:val="28"/>
          <w:szCs w:val="28"/>
          <w:u w:val="single"/>
          <w:shd w:val="clear" w:fill="auto"/>
          <w:lang w:bidi="ar"/>
        </w:rPr>
        <w:t>债权金额合计</w:t>
      </w:r>
      <w:r>
        <w:rPr>
          <w:rFonts w:hint="eastAsia" w:ascii="仿宋" w:hAnsi="仿宋" w:eastAsia="仿宋" w:cs="仿宋"/>
          <w:b/>
          <w:bCs/>
          <w:color w:val="auto"/>
          <w:sz w:val="28"/>
          <w:szCs w:val="28"/>
          <w:u w:val="single"/>
          <w:shd w:val="clear" w:fill="auto"/>
          <w:lang w:eastAsia="zh-CN" w:bidi="ar"/>
        </w:rPr>
        <w:t>为7,738,187.95</w:t>
      </w:r>
      <w:r>
        <w:rPr>
          <w:rFonts w:hint="eastAsia" w:ascii="仿宋" w:hAnsi="仿宋" w:eastAsia="仿宋" w:cs="仿宋"/>
          <w:b/>
          <w:bCs/>
          <w:color w:val="auto"/>
          <w:sz w:val="28"/>
          <w:szCs w:val="28"/>
          <w:u w:val="single"/>
          <w:shd w:val="clear" w:fill="auto"/>
          <w:lang w:bidi="ar"/>
        </w:rPr>
        <w:t>元，其中：本金</w:t>
      </w:r>
      <w:r>
        <w:rPr>
          <w:rFonts w:hint="eastAsia" w:ascii="仿宋" w:hAnsi="仿宋" w:eastAsia="仿宋" w:cs="仿宋"/>
          <w:b/>
          <w:bCs/>
          <w:color w:val="auto"/>
          <w:sz w:val="28"/>
          <w:szCs w:val="28"/>
          <w:u w:val="single"/>
          <w:shd w:val="clear" w:fill="auto"/>
          <w:lang w:eastAsia="zh-CN" w:bidi="ar"/>
        </w:rPr>
        <w:t>为6,440,305.95</w:t>
      </w:r>
      <w:r>
        <w:rPr>
          <w:rFonts w:hint="eastAsia" w:ascii="仿宋" w:hAnsi="仿宋" w:eastAsia="仿宋" w:cs="仿宋"/>
          <w:b/>
          <w:bCs/>
          <w:color w:val="auto"/>
          <w:sz w:val="28"/>
          <w:szCs w:val="28"/>
          <w:u w:val="single"/>
          <w:shd w:val="clear" w:fill="auto"/>
          <w:lang w:bidi="ar"/>
        </w:rPr>
        <w:t>元</w:t>
      </w:r>
      <w:r>
        <w:rPr>
          <w:rFonts w:hint="eastAsia" w:ascii="仿宋" w:hAnsi="仿宋" w:eastAsia="仿宋" w:cs="仿宋"/>
          <w:b/>
          <w:bCs/>
          <w:color w:val="auto"/>
          <w:sz w:val="28"/>
          <w:szCs w:val="28"/>
          <w:u w:val="single"/>
          <w:shd w:val="clear" w:fill="auto"/>
          <w:lang w:eastAsia="zh-CN" w:bidi="ar"/>
        </w:rPr>
        <w:t>，</w:t>
      </w:r>
      <w:r>
        <w:rPr>
          <w:rFonts w:hint="eastAsia" w:ascii="仿宋" w:hAnsi="仿宋" w:eastAsia="仿宋" w:cs="仿宋"/>
          <w:b/>
          <w:bCs/>
          <w:color w:val="auto"/>
          <w:sz w:val="28"/>
          <w:szCs w:val="28"/>
          <w:u w:val="single"/>
          <w:shd w:val="clear" w:fill="auto"/>
          <w:lang w:bidi="ar"/>
        </w:rPr>
        <w:t>利息</w:t>
      </w:r>
      <w:r>
        <w:rPr>
          <w:rFonts w:hint="eastAsia" w:ascii="仿宋" w:hAnsi="仿宋" w:eastAsia="仿宋" w:cs="仿宋"/>
          <w:b/>
          <w:bCs/>
          <w:color w:val="auto"/>
          <w:sz w:val="28"/>
          <w:szCs w:val="28"/>
          <w:u w:val="single"/>
          <w:shd w:val="clear" w:fill="auto"/>
          <w:lang w:eastAsia="zh-CN" w:bidi="ar"/>
        </w:rPr>
        <w:t>为1,297,882.00</w:t>
      </w:r>
      <w:r>
        <w:rPr>
          <w:rFonts w:hint="eastAsia" w:ascii="仿宋" w:hAnsi="仿宋" w:eastAsia="仿宋" w:cs="仿宋"/>
          <w:b/>
          <w:bCs/>
          <w:color w:val="auto"/>
          <w:sz w:val="28"/>
          <w:szCs w:val="28"/>
          <w:u w:val="single"/>
          <w:shd w:val="clear" w:fill="auto"/>
          <w:lang w:bidi="ar"/>
        </w:rPr>
        <w:t>元（</w:t>
      </w:r>
      <w:r>
        <w:rPr>
          <w:rFonts w:hint="eastAsia" w:ascii="仿宋" w:hAnsi="仿宋" w:eastAsia="仿宋" w:cs="仿宋"/>
          <w:b/>
          <w:bCs/>
          <w:color w:val="auto"/>
          <w:sz w:val="28"/>
          <w:szCs w:val="28"/>
          <w:u w:val="single"/>
          <w:shd w:val="clear" w:fill="auto"/>
          <w:lang w:eastAsia="zh-CN" w:bidi="ar"/>
        </w:rPr>
        <w:t>2021年</w:t>
      </w:r>
      <w:r>
        <w:rPr>
          <w:rFonts w:hint="eastAsia" w:ascii="仿宋" w:hAnsi="仿宋" w:eastAsia="仿宋" w:cs="仿宋"/>
          <w:b/>
          <w:bCs/>
          <w:color w:val="auto"/>
          <w:sz w:val="28"/>
          <w:szCs w:val="28"/>
          <w:u w:val="single"/>
          <w:shd w:val="clear" w:fill="auto"/>
          <w:lang w:val="en-US" w:eastAsia="zh-CN" w:bidi="ar"/>
        </w:rPr>
        <w:t>3</w:t>
      </w:r>
      <w:r>
        <w:rPr>
          <w:rFonts w:hint="eastAsia" w:ascii="仿宋" w:hAnsi="仿宋" w:eastAsia="仿宋" w:cs="仿宋"/>
          <w:b/>
          <w:bCs/>
          <w:color w:val="auto"/>
          <w:sz w:val="28"/>
          <w:szCs w:val="28"/>
          <w:u w:val="single"/>
          <w:shd w:val="clear" w:fill="auto"/>
          <w:lang w:eastAsia="zh-CN" w:bidi="ar"/>
        </w:rPr>
        <w:t>月20日</w:t>
      </w:r>
      <w:r>
        <w:rPr>
          <w:rFonts w:hint="eastAsia" w:ascii="仿宋" w:hAnsi="仿宋" w:eastAsia="仿宋" w:cs="仿宋"/>
          <w:b/>
          <w:bCs/>
          <w:color w:val="auto"/>
          <w:sz w:val="28"/>
          <w:szCs w:val="28"/>
          <w:u w:val="single"/>
          <w:shd w:val="clear" w:fill="auto"/>
          <w:lang w:bidi="ar"/>
        </w:rPr>
        <w:t>之后产生的利息，以及与不良贷款债权相关的从权利亦在本次拍卖范围内）</w:t>
      </w:r>
      <w:r>
        <w:rPr>
          <w:rFonts w:hint="eastAsia" w:ascii="仿宋" w:hAnsi="仿宋" w:eastAsia="仿宋" w:cs="仿宋"/>
          <w:b/>
          <w:bCs/>
          <w:color w:val="auto"/>
          <w:kern w:val="2"/>
          <w:sz w:val="28"/>
          <w:szCs w:val="28"/>
          <w:u w:val="single"/>
          <w:shd w:val="clear" w:fill="auto"/>
          <w:lang w:val="en-US" w:eastAsia="zh-CN" w:bidi="ar"/>
        </w:rPr>
        <w:t>，现状拍卖</w:t>
      </w:r>
      <w:r>
        <w:rPr>
          <w:rFonts w:hint="eastAsia" w:ascii="仿宋" w:hAnsi="仿宋" w:eastAsia="仿宋" w:cs="仿宋"/>
          <w:b/>
          <w:bCs/>
          <w:i w:val="0"/>
          <w:caps w:val="0"/>
          <w:color w:val="auto"/>
          <w:spacing w:val="0"/>
          <w:kern w:val="2"/>
          <w:sz w:val="28"/>
          <w:szCs w:val="28"/>
          <w:u w:val="single"/>
          <w:shd w:val="clear" w:fill="auto"/>
          <w:lang w:val="en-US" w:eastAsia="zh-CN" w:bidi="ar"/>
        </w:rPr>
        <w:t>。最终债权金额、担保等情况以委托人与买受人签署的《债权转让协议》和双方移交材料为准，拍卖人提供的相关资料仅供参考。</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对</w:t>
      </w:r>
      <w:r>
        <w:rPr>
          <w:rFonts w:hint="eastAsia" w:ascii="仿宋" w:hAnsi="仿宋" w:eastAsia="仿宋" w:cs="仿宋"/>
          <w:color w:val="auto"/>
          <w:sz w:val="28"/>
          <w:szCs w:val="28"/>
          <w:lang w:eastAsia="zh-CN"/>
        </w:rPr>
        <w:t>于上述拍卖标的</w:t>
      </w:r>
      <w:r>
        <w:rPr>
          <w:rFonts w:hint="eastAsia" w:ascii="仿宋" w:hAnsi="仿宋" w:eastAsia="仿宋" w:cs="仿宋"/>
          <w:color w:val="auto"/>
          <w:sz w:val="28"/>
          <w:szCs w:val="28"/>
        </w:rPr>
        <w:t>，我公司在此提示风险如下，请竞买人自行把握竞买风险：</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line="500" w:lineRule="exact"/>
        <w:ind w:right="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.1标的债权系不良资产，存在着部分或全部不能回收的风险特性以及清收的困难性</w:t>
      </w:r>
      <w:r>
        <w:rPr>
          <w:rFonts w:hint="eastAsia" w:ascii="仿宋" w:hAnsi="仿宋" w:eastAsia="仿宋" w:cs="仿宋"/>
          <w:b w:val="0"/>
          <w:color w:val="auto"/>
          <w:sz w:val="28"/>
          <w:szCs w:val="28"/>
          <w:lang w:eastAsia="zh-CN"/>
        </w:rPr>
        <w:t>。</w:t>
      </w:r>
    </w:p>
    <w:p>
      <w:pPr>
        <w:snapToGrid w:val="0"/>
        <w:spacing w:line="500" w:lineRule="exact"/>
        <w:ind w:right="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.2由于可能存在的计算误差或其他原因，</w:t>
      </w:r>
      <w:r>
        <w:rPr>
          <w:rFonts w:hint="eastAsia" w:ascii="仿宋" w:hAnsi="仿宋" w:eastAsia="仿宋" w:cs="仿宋"/>
          <w:b w:val="0"/>
          <w:color w:val="auto"/>
          <w:sz w:val="28"/>
          <w:szCs w:val="28"/>
          <w:lang w:val="en-US" w:eastAsia="zh-CN"/>
        </w:rPr>
        <w:t>受让人</w:t>
      </w:r>
      <w:r>
        <w:rPr>
          <w:rFonts w:hint="eastAsia" w:ascii="仿宋" w:hAnsi="仿宋" w:eastAsia="仿宋" w:cs="仿宋"/>
          <w:b w:val="0"/>
          <w:color w:val="auto"/>
          <w:sz w:val="28"/>
          <w:szCs w:val="28"/>
        </w:rPr>
        <w:t>实际接收的贷款债权金额与附件一《</w:t>
      </w:r>
      <w:r>
        <w:rPr>
          <w:rFonts w:hint="eastAsia" w:ascii="仿宋" w:hAnsi="仿宋" w:eastAsia="仿宋" w:cs="仿宋"/>
          <w:b w:val="0"/>
          <w:color w:val="auto"/>
          <w:sz w:val="28"/>
          <w:szCs w:val="28"/>
          <w:lang w:val="en-US" w:eastAsia="zh-CN"/>
        </w:rPr>
        <w:t>拍卖债权</w:t>
      </w:r>
      <w:r>
        <w:rPr>
          <w:rFonts w:hint="eastAsia" w:ascii="仿宋" w:hAnsi="仿宋" w:eastAsia="仿宋" w:cs="仿宋"/>
          <w:b w:val="0"/>
          <w:color w:val="auto"/>
          <w:sz w:val="28"/>
          <w:szCs w:val="28"/>
        </w:rPr>
        <w:t>明细表》载明的金额可能不完全一致；基于有关司法政策文件，买受人受让贷款债权后向债务人或担保人所能主张并获得司法支持的利息可能与附件一《</w:t>
      </w:r>
      <w:r>
        <w:rPr>
          <w:rFonts w:hint="eastAsia" w:ascii="仿宋" w:hAnsi="仿宋" w:eastAsia="仿宋" w:cs="仿宋"/>
          <w:b w:val="0"/>
          <w:color w:val="auto"/>
          <w:sz w:val="28"/>
          <w:szCs w:val="28"/>
          <w:lang w:val="en-US" w:eastAsia="zh-CN"/>
        </w:rPr>
        <w:t>拍卖债权</w:t>
      </w:r>
      <w:r>
        <w:rPr>
          <w:rFonts w:hint="eastAsia" w:ascii="仿宋" w:hAnsi="仿宋" w:eastAsia="仿宋" w:cs="仿宋"/>
          <w:b w:val="0"/>
          <w:color w:val="auto"/>
          <w:sz w:val="28"/>
          <w:szCs w:val="28"/>
        </w:rPr>
        <w:t>明细表》中所列明的利息不完全一致；标的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事实上可能已经全部或部分灭失。</w:t>
      </w:r>
    </w:p>
    <w:p>
      <w:pPr>
        <w:snapToGrid w:val="0"/>
        <w:spacing w:line="500" w:lineRule="exact"/>
        <w:ind w:right="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.3 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项下债务人、担保人或其他责任主体可能存在破产、被吊销、被撤销、注销、解散、关闭、歇业、停业、下落不明以及其他主体存续性瑕疵的情形</w:t>
      </w:r>
      <w:r>
        <w:rPr>
          <w:rFonts w:hint="eastAsia" w:ascii="仿宋" w:hAnsi="仿宋" w:eastAsia="仿宋" w:cs="仿宋"/>
          <w:b w:val="0"/>
          <w:color w:val="auto"/>
          <w:sz w:val="28"/>
          <w:szCs w:val="28"/>
          <w:lang w:eastAsia="zh-CN"/>
        </w:rPr>
        <w:t>。</w:t>
      </w:r>
    </w:p>
    <w:p>
      <w:pPr>
        <w:snapToGrid w:val="0"/>
        <w:spacing w:line="500" w:lineRule="exact"/>
        <w:ind w:right="0" w:rightChars="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.4 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可能已超过诉讼时效、法定或约定时效或丧失其他相关的期间利益</w:t>
      </w:r>
      <w:r>
        <w:rPr>
          <w:rFonts w:hint="eastAsia" w:ascii="仿宋" w:hAnsi="仿宋" w:eastAsia="仿宋" w:cs="仿宋"/>
          <w:b w:val="0"/>
          <w:color w:val="auto"/>
          <w:sz w:val="28"/>
          <w:szCs w:val="28"/>
          <w:lang w:eastAsia="zh-CN"/>
        </w:rPr>
        <w:t>。</w:t>
      </w:r>
    </w:p>
    <w:p>
      <w:pPr>
        <w:snapToGrid w:val="0"/>
        <w:spacing w:line="500" w:lineRule="exact"/>
        <w:ind w:left="0" w:leftChars="0" w:right="0" w:rightChars="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.5 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项下担保权利可能未生效、无效、消灭或已过诉讼时效等情形</w:t>
      </w:r>
      <w:r>
        <w:rPr>
          <w:rFonts w:hint="eastAsia" w:ascii="仿宋" w:hAnsi="仿宋" w:eastAsia="仿宋" w:cs="仿宋"/>
          <w:b w:val="0"/>
          <w:color w:val="auto"/>
          <w:sz w:val="28"/>
          <w:szCs w:val="28"/>
          <w:lang w:eastAsia="zh-CN"/>
        </w:rPr>
        <w:t>。</w:t>
      </w:r>
    </w:p>
    <w:p>
      <w:pPr>
        <w:snapToGrid w:val="0"/>
        <w:spacing w:line="500" w:lineRule="exact"/>
        <w:ind w:left="0" w:leftChars="0" w:right="0" w:rightChars="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.6 担保物、抵债资产（含协议抵债且未办理过户）可能发生灭失、毁损或可能存在欠缴税费、不能办理权属变更手续、不能实际占有或其他减损担保物、抵债资产价值的相关情形</w:t>
      </w:r>
      <w:r>
        <w:rPr>
          <w:rFonts w:hint="eastAsia" w:ascii="仿宋" w:hAnsi="仿宋" w:eastAsia="仿宋" w:cs="仿宋"/>
          <w:b w:val="0"/>
          <w:color w:val="auto"/>
          <w:sz w:val="28"/>
          <w:szCs w:val="28"/>
          <w:lang w:eastAsia="zh-CN"/>
        </w:rPr>
        <w:t>。</w:t>
      </w:r>
      <w:r>
        <w:rPr>
          <w:rFonts w:hint="eastAsia" w:ascii="仿宋" w:hAnsi="仿宋" w:eastAsia="仿宋" w:cs="仿宋"/>
          <w:b w:val="0"/>
          <w:color w:val="auto"/>
          <w:sz w:val="28"/>
          <w:szCs w:val="28"/>
        </w:rPr>
        <w:t xml:space="preserve"> </w:t>
      </w:r>
    </w:p>
    <w:p>
      <w:pPr>
        <w:snapToGrid w:val="0"/>
        <w:spacing w:line="500" w:lineRule="exact"/>
        <w:ind w:right="0" w:rightChars="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.7涉诉标的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可能存在全部或部分败诉、不能变更诉讼（含执行）主体、相关诉讼、执行费用未付等情形，涉诉标的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可能在交割前已诉讼终结、执行终结或破产终结。</w:t>
      </w:r>
    </w:p>
    <w:p>
      <w:pPr>
        <w:snapToGrid w:val="0"/>
        <w:spacing w:line="500" w:lineRule="exact"/>
        <w:ind w:right="0"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.8</w:t>
      </w:r>
      <w:r>
        <w:rPr>
          <w:rFonts w:hint="eastAsia" w:ascii="仿宋" w:hAnsi="仿宋" w:eastAsia="仿宋" w:cs="仿宋"/>
          <w:b w:val="0"/>
          <w:color w:val="auto"/>
          <w:sz w:val="28"/>
          <w:szCs w:val="28"/>
          <w:lang w:eastAsia="zh-CN"/>
        </w:rPr>
        <w:t>买受人</w:t>
      </w:r>
      <w:r>
        <w:rPr>
          <w:rFonts w:hint="eastAsia" w:ascii="仿宋" w:hAnsi="仿宋" w:eastAsia="仿宋" w:cs="仿宋"/>
          <w:b w:val="0"/>
          <w:color w:val="auto"/>
          <w:sz w:val="28"/>
          <w:szCs w:val="28"/>
        </w:rPr>
        <w:t>受让标的</w:t>
      </w:r>
      <w:r>
        <w:rPr>
          <w:rFonts w:hint="eastAsia" w:ascii="仿宋" w:hAnsi="仿宋" w:eastAsia="仿宋" w:cs="仿宋"/>
          <w:b w:val="0"/>
          <w:color w:val="auto"/>
          <w:sz w:val="28"/>
          <w:szCs w:val="28"/>
          <w:lang w:val="en-US" w:eastAsia="zh-CN"/>
        </w:rPr>
        <w:t>债权</w:t>
      </w:r>
      <w:r>
        <w:rPr>
          <w:rFonts w:hint="eastAsia" w:ascii="仿宋" w:hAnsi="仿宋" w:eastAsia="仿宋" w:cs="仿宋"/>
          <w:b w:val="0"/>
          <w:color w:val="auto"/>
          <w:sz w:val="28"/>
          <w:szCs w:val="28"/>
        </w:rPr>
        <w:t>后，可能无法享有</w:t>
      </w:r>
      <w:r>
        <w:rPr>
          <w:rFonts w:hint="eastAsia" w:ascii="仿宋" w:hAnsi="仿宋" w:eastAsia="仿宋" w:cs="仿宋"/>
          <w:b w:val="0"/>
          <w:color w:val="auto"/>
          <w:sz w:val="28"/>
          <w:szCs w:val="28"/>
          <w:lang w:eastAsia="zh-CN"/>
        </w:rPr>
        <w:t>委托方</w:t>
      </w:r>
      <w:r>
        <w:rPr>
          <w:rFonts w:hint="eastAsia" w:ascii="仿宋" w:hAnsi="仿宋" w:eastAsia="仿宋" w:cs="仿宋"/>
          <w:b w:val="0"/>
          <w:color w:val="auto"/>
          <w:sz w:val="28"/>
          <w:szCs w:val="28"/>
        </w:rPr>
        <w:t>所享有的国家法律政策规定的各项优惠条件和特殊保护，包括但不限于对该标的资产在交割日后的利息或罚息请求权可能无法继续享有。</w:t>
      </w:r>
    </w:p>
    <w:p>
      <w:pPr>
        <w:snapToGrid w:val="0"/>
        <w:spacing w:line="500" w:lineRule="exact"/>
        <w:ind w:firstLine="548" w:firstLineChars="196"/>
        <w:rPr>
          <w:rFonts w:hint="eastAsia" w:ascii="仿宋" w:hAnsi="仿宋" w:eastAsia="仿宋" w:cs="仿宋"/>
          <w:b w:val="0"/>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b w:val="0"/>
          <w:color w:val="auto"/>
          <w:sz w:val="28"/>
          <w:szCs w:val="28"/>
        </w:rPr>
        <w:t>.9</w:t>
      </w:r>
      <w:r>
        <w:rPr>
          <w:rFonts w:hint="eastAsia" w:ascii="仿宋" w:hAnsi="仿宋" w:eastAsia="仿宋" w:cs="仿宋"/>
          <w:b w:val="0"/>
          <w:color w:val="auto"/>
          <w:sz w:val="28"/>
          <w:szCs w:val="28"/>
          <w:lang w:eastAsia="zh-CN"/>
        </w:rPr>
        <w:t>委托方</w:t>
      </w:r>
      <w:r>
        <w:rPr>
          <w:rFonts w:hint="eastAsia" w:ascii="仿宋" w:hAnsi="仿宋" w:eastAsia="仿宋" w:cs="仿宋"/>
          <w:b w:val="0"/>
          <w:color w:val="auto"/>
          <w:sz w:val="28"/>
          <w:szCs w:val="28"/>
        </w:rPr>
        <w:t>无法对其承继的、由任何第三方制作的资产证明文件的真实性、有效性、准确性和完整性提供保证。</w:t>
      </w:r>
      <w:r>
        <w:rPr>
          <w:rFonts w:hint="eastAsia" w:ascii="仿宋" w:hAnsi="仿宋" w:eastAsia="仿宋" w:cs="仿宋"/>
          <w:b w:val="0"/>
          <w:color w:val="auto"/>
          <w:sz w:val="28"/>
          <w:szCs w:val="28"/>
          <w:lang w:eastAsia="zh-CN"/>
        </w:rPr>
        <w:t>委托方</w:t>
      </w:r>
      <w:r>
        <w:rPr>
          <w:rFonts w:hint="eastAsia" w:ascii="仿宋" w:hAnsi="仿宋" w:eastAsia="仿宋" w:cs="仿宋"/>
          <w:b w:val="0"/>
          <w:color w:val="auto"/>
          <w:sz w:val="28"/>
          <w:szCs w:val="28"/>
        </w:rPr>
        <w:t>移交的标的资产证明文件可能存在缺失（不限于原件）、内容冲突等相关情形。</w:t>
      </w:r>
    </w:p>
    <w:p>
      <w:pPr>
        <w:snapToGrid w:val="0"/>
        <w:spacing w:line="500" w:lineRule="exact"/>
        <w:ind w:firstLine="548" w:firstLineChars="196"/>
        <w:rPr>
          <w:ins w:id="0" w:author="hongl" w:date="2021-05-24T11:54:08Z"/>
          <w:rFonts w:hint="eastAsia" w:ascii="仿宋" w:hAnsi="仿宋" w:eastAsia="仿宋" w:cs="仿宋"/>
          <w:b w:val="0"/>
          <w:color w:val="auto"/>
          <w:sz w:val="28"/>
          <w:szCs w:val="28"/>
        </w:rPr>
      </w:pPr>
      <w:ins w:id="1" w:author="hongl" w:date="2021-05-24T11:54:08Z">
        <w:r>
          <w:rPr>
            <w:rFonts w:hint="eastAsia" w:ascii="仿宋" w:hAnsi="仿宋" w:eastAsia="仿宋" w:cs="仿宋"/>
            <w:b w:val="0"/>
            <w:color w:val="auto"/>
            <w:sz w:val="28"/>
            <w:szCs w:val="28"/>
            <w:lang w:val="en-US" w:eastAsia="zh-CN"/>
          </w:rPr>
          <w:t>1</w:t>
        </w:r>
      </w:ins>
      <w:ins w:id="2" w:author="hongl" w:date="2021-05-24T11:54:08Z">
        <w:r>
          <w:rPr>
            <w:rFonts w:hint="eastAsia" w:ascii="仿宋" w:hAnsi="仿宋" w:eastAsia="仿宋" w:cs="仿宋"/>
            <w:b w:val="0"/>
            <w:color w:val="auto"/>
            <w:sz w:val="28"/>
            <w:szCs w:val="28"/>
          </w:rPr>
          <w:t>.10尽管</w:t>
        </w:r>
      </w:ins>
      <w:ins w:id="3" w:author="hongl" w:date="2021-05-24T11:54:08Z">
        <w:r>
          <w:rPr>
            <w:rFonts w:hint="eastAsia" w:ascii="仿宋" w:hAnsi="仿宋" w:eastAsia="仿宋" w:cs="仿宋"/>
            <w:b w:val="0"/>
            <w:color w:val="auto"/>
            <w:sz w:val="28"/>
            <w:szCs w:val="28"/>
            <w:lang w:eastAsia="zh-CN"/>
          </w:rPr>
          <w:t>委托方</w:t>
        </w:r>
      </w:ins>
      <w:ins w:id="4" w:author="hongl" w:date="2021-05-24T11:54:08Z">
        <w:r>
          <w:rPr>
            <w:rFonts w:hint="eastAsia" w:ascii="仿宋" w:hAnsi="仿宋" w:eastAsia="仿宋" w:cs="仿宋"/>
            <w:b w:val="0"/>
            <w:color w:val="auto"/>
            <w:sz w:val="28"/>
            <w:szCs w:val="28"/>
          </w:rPr>
          <w:t>已对拟转让债权瑕疵作出上述披露，但该债权仍然存在包括但不限于如下瑕疵，</w:t>
        </w:r>
      </w:ins>
      <w:ins w:id="5" w:author="hongl" w:date="2021-05-24T11:54:08Z">
        <w:r>
          <w:rPr>
            <w:rFonts w:hint="eastAsia" w:ascii="仿宋" w:hAnsi="仿宋" w:eastAsia="仿宋" w:cs="仿宋"/>
            <w:sz w:val="28"/>
            <w:szCs w:val="28"/>
          </w:rPr>
          <w:t>竞买人</w:t>
        </w:r>
      </w:ins>
      <w:ins w:id="6" w:author="hongl" w:date="2021-05-24T11:54:08Z">
        <w:r>
          <w:rPr>
            <w:rFonts w:hint="eastAsia" w:ascii="仿宋" w:hAnsi="仿宋" w:eastAsia="仿宋" w:cs="仿宋"/>
            <w:b w:val="0"/>
            <w:color w:val="auto"/>
            <w:sz w:val="28"/>
            <w:szCs w:val="28"/>
          </w:rPr>
          <w:t>受让贷款债权前，已充分了解</w:t>
        </w:r>
      </w:ins>
      <w:ins w:id="7" w:author="hongl" w:date="2021-05-24T11:54:08Z">
        <w:r>
          <w:rPr>
            <w:rFonts w:hint="eastAsia" w:ascii="仿宋" w:hAnsi="仿宋" w:eastAsia="仿宋" w:cs="仿宋"/>
            <w:b w:val="0"/>
            <w:color w:val="auto"/>
            <w:sz w:val="28"/>
            <w:szCs w:val="28"/>
            <w:lang w:val="en-US" w:eastAsia="zh-CN"/>
          </w:rPr>
          <w:t>委托方</w:t>
        </w:r>
      </w:ins>
      <w:ins w:id="8" w:author="hongl" w:date="2021-05-24T11:54:08Z">
        <w:r>
          <w:rPr>
            <w:rFonts w:hint="eastAsia" w:ascii="仿宋" w:hAnsi="仿宋" w:eastAsia="仿宋" w:cs="仿宋"/>
            <w:b w:val="0"/>
            <w:color w:val="auto"/>
            <w:sz w:val="28"/>
            <w:szCs w:val="28"/>
          </w:rPr>
          <w:t>告知的下列事实：</w:t>
        </w:r>
      </w:ins>
    </w:p>
    <w:p>
      <w:pPr>
        <w:snapToGrid w:val="0"/>
        <w:spacing w:line="500" w:lineRule="exact"/>
        <w:ind w:firstLine="548" w:firstLineChars="196"/>
        <w:rPr>
          <w:ins w:id="9" w:author="hongl" w:date="2021-05-24T11:54:08Z"/>
          <w:rFonts w:hint="eastAsia" w:ascii="仿宋" w:hAnsi="仿宋" w:eastAsia="仿宋" w:cs="仿宋"/>
          <w:b w:val="0"/>
          <w:color w:val="auto"/>
          <w:sz w:val="28"/>
          <w:szCs w:val="28"/>
        </w:rPr>
      </w:pPr>
      <w:ins w:id="10" w:author="hongl" w:date="2021-05-24T11:54:08Z">
        <w:r>
          <w:rPr>
            <w:rFonts w:hint="eastAsia" w:ascii="仿宋" w:hAnsi="仿宋" w:eastAsia="仿宋" w:cs="仿宋"/>
            <w:b w:val="0"/>
            <w:color w:val="auto"/>
            <w:sz w:val="28"/>
            <w:szCs w:val="28"/>
            <w:lang w:eastAsia="zh-CN"/>
          </w:rPr>
          <w:t>（</w:t>
        </w:r>
      </w:ins>
      <w:ins w:id="11" w:author="hongl" w:date="2021-05-24T11:54:08Z">
        <w:r>
          <w:rPr>
            <w:rFonts w:hint="eastAsia" w:ascii="仿宋" w:hAnsi="仿宋" w:eastAsia="仿宋" w:cs="仿宋"/>
            <w:b w:val="0"/>
            <w:color w:val="auto"/>
            <w:sz w:val="28"/>
            <w:szCs w:val="28"/>
            <w:lang w:val="en-US" w:eastAsia="zh-CN"/>
          </w:rPr>
          <w:t>1</w:t>
        </w:r>
      </w:ins>
      <w:ins w:id="12" w:author="hongl" w:date="2021-05-24T11:54:08Z">
        <w:r>
          <w:rPr>
            <w:rFonts w:hint="eastAsia" w:ascii="仿宋" w:hAnsi="仿宋" w:eastAsia="仿宋" w:cs="仿宋"/>
            <w:b w:val="0"/>
            <w:color w:val="auto"/>
            <w:sz w:val="28"/>
            <w:szCs w:val="28"/>
            <w:lang w:eastAsia="zh-CN"/>
          </w:rPr>
          <w:t>）</w:t>
        </w:r>
      </w:ins>
      <w:ins w:id="13" w:author="hongl" w:date="2021-05-24T11:54:08Z">
        <w:r>
          <w:rPr>
            <w:rFonts w:hint="eastAsia" w:ascii="仿宋" w:hAnsi="仿宋" w:eastAsia="仿宋" w:cs="仿宋"/>
            <w:b w:val="0"/>
            <w:color w:val="auto"/>
            <w:sz w:val="28"/>
            <w:szCs w:val="28"/>
          </w:rPr>
          <w:t>该户债权主债务人已被法院裁定破产清算，原抵押物已拍卖处置，破产受偿款已受偿，且已冲减债权本金。</w:t>
        </w:r>
      </w:ins>
    </w:p>
    <w:p>
      <w:pPr>
        <w:snapToGrid w:val="0"/>
        <w:spacing w:line="500" w:lineRule="exact"/>
        <w:ind w:firstLine="548" w:firstLineChars="196"/>
        <w:rPr>
          <w:ins w:id="14" w:author="hongl" w:date="2021-05-24T11:54:08Z"/>
          <w:rFonts w:hint="eastAsia" w:ascii="仿宋" w:hAnsi="仿宋" w:eastAsia="仿宋" w:cs="仿宋"/>
          <w:b w:val="0"/>
          <w:color w:val="auto"/>
          <w:sz w:val="28"/>
          <w:szCs w:val="28"/>
          <w:lang w:val="en-US" w:eastAsia="zh-CN"/>
        </w:rPr>
      </w:pPr>
      <w:ins w:id="15" w:author="hongl" w:date="2021-05-24T11:54:08Z">
        <w:r>
          <w:rPr>
            <w:rFonts w:hint="eastAsia" w:ascii="仿宋" w:hAnsi="仿宋" w:eastAsia="仿宋" w:cs="仿宋"/>
            <w:b w:val="0"/>
            <w:color w:val="auto"/>
            <w:sz w:val="28"/>
            <w:szCs w:val="28"/>
            <w:lang w:val="en-US" w:eastAsia="zh-CN"/>
          </w:rPr>
          <w:t>（2）</w:t>
        </w:r>
      </w:ins>
      <w:ins w:id="16" w:author="hongl" w:date="2021-05-24T11:54:08Z">
        <w:r>
          <w:rPr>
            <w:rFonts w:hint="eastAsia" w:ascii="仿宋" w:hAnsi="仿宋" w:eastAsia="仿宋" w:cs="仿宋"/>
            <w:b w:val="0"/>
            <w:color w:val="auto"/>
            <w:sz w:val="28"/>
            <w:szCs w:val="28"/>
          </w:rPr>
          <w:t>该户债权</w:t>
        </w:r>
      </w:ins>
      <w:ins w:id="17" w:author="hongl" w:date="2021-05-24T11:54:08Z">
        <w:r>
          <w:rPr>
            <w:rFonts w:hint="eastAsia" w:ascii="仿宋" w:hAnsi="仿宋" w:eastAsia="仿宋" w:cs="仿宋"/>
            <w:b w:val="0"/>
            <w:color w:val="auto"/>
            <w:sz w:val="28"/>
            <w:szCs w:val="28"/>
            <w:lang w:val="en-US" w:eastAsia="zh-CN"/>
          </w:rPr>
          <w:t>未对借款人及保证人进行诉讼，</w:t>
        </w:r>
      </w:ins>
      <w:ins w:id="18" w:author="hongl" w:date="2021-05-24T11:54:08Z">
        <w:r>
          <w:rPr>
            <w:rFonts w:hint="eastAsia" w:ascii="仿宋" w:hAnsi="仿宋" w:eastAsia="仿宋" w:cs="仿宋"/>
            <w:b w:val="0"/>
            <w:color w:val="auto"/>
            <w:sz w:val="28"/>
            <w:szCs w:val="28"/>
          </w:rPr>
          <w:t>2017年12月26日，</w:t>
        </w:r>
      </w:ins>
      <w:ins w:id="19" w:author="hongl" w:date="2021-05-24T11:54:08Z">
        <w:r>
          <w:rPr>
            <w:rFonts w:hint="eastAsia" w:ascii="仿宋" w:hAnsi="仿宋" w:eastAsia="仿宋" w:cs="仿宋"/>
            <w:b w:val="0"/>
            <w:color w:val="auto"/>
            <w:sz w:val="28"/>
            <w:szCs w:val="28"/>
            <w:lang w:eastAsia="zh-CN"/>
          </w:rPr>
          <w:t>委托方</w:t>
        </w:r>
      </w:ins>
      <w:ins w:id="20" w:author="hongl" w:date="2021-05-24T11:54:08Z">
        <w:r>
          <w:rPr>
            <w:rFonts w:hint="eastAsia" w:ascii="仿宋" w:hAnsi="仿宋" w:eastAsia="仿宋" w:cs="仿宋"/>
            <w:b w:val="0"/>
            <w:color w:val="auto"/>
            <w:sz w:val="28"/>
            <w:szCs w:val="28"/>
          </w:rPr>
          <w:t>与浦发银行在法制报社发布联合转让暨催收公告，2019年11月5日，</w:t>
        </w:r>
      </w:ins>
      <w:ins w:id="21" w:author="hongl" w:date="2021-05-24T11:54:08Z">
        <w:r>
          <w:rPr>
            <w:rFonts w:hint="eastAsia" w:ascii="仿宋" w:hAnsi="仿宋" w:eastAsia="仿宋" w:cs="仿宋"/>
            <w:b w:val="0"/>
            <w:color w:val="auto"/>
            <w:sz w:val="28"/>
            <w:szCs w:val="28"/>
            <w:lang w:eastAsia="zh-CN"/>
          </w:rPr>
          <w:t>委托方</w:t>
        </w:r>
      </w:ins>
      <w:ins w:id="22" w:author="hongl" w:date="2021-05-24T11:54:08Z">
        <w:r>
          <w:rPr>
            <w:rFonts w:hint="eastAsia" w:ascii="仿宋" w:hAnsi="仿宋" w:eastAsia="仿宋" w:cs="仿宋"/>
            <w:b w:val="0"/>
            <w:color w:val="auto"/>
            <w:sz w:val="28"/>
            <w:szCs w:val="28"/>
          </w:rPr>
          <w:t>在山东法制报刊登催收公告，对借款人及保证人进行催收，所涉保证人可能存在脱保风险。</w:t>
        </w:r>
      </w:ins>
    </w:p>
    <w:p>
      <w:pPr>
        <w:snapToGrid w:val="0"/>
        <w:spacing w:line="500" w:lineRule="exact"/>
        <w:ind w:firstLine="548" w:firstLineChars="196"/>
        <w:rPr>
          <w:del w:id="23" w:author="hongl" w:date="2021-05-24T11:54:08Z"/>
          <w:rFonts w:hint="eastAsia" w:ascii="仿宋" w:hAnsi="仿宋" w:eastAsia="仿宋" w:cs="仿宋"/>
          <w:b w:val="0"/>
          <w:color w:val="auto"/>
          <w:sz w:val="28"/>
          <w:szCs w:val="28"/>
        </w:rPr>
      </w:pPr>
      <w:del w:id="24" w:author="hongl" w:date="2021-05-24T11:54:08Z">
        <w:r>
          <w:rPr>
            <w:rFonts w:hint="eastAsia" w:ascii="仿宋" w:hAnsi="仿宋" w:eastAsia="仿宋" w:cs="仿宋"/>
            <w:b w:val="0"/>
            <w:color w:val="auto"/>
            <w:sz w:val="28"/>
            <w:szCs w:val="28"/>
            <w:lang w:val="en-US" w:eastAsia="zh-CN"/>
          </w:rPr>
          <w:delText>1</w:delText>
        </w:r>
      </w:del>
      <w:del w:id="25" w:author="hongl" w:date="2021-05-24T11:54:08Z">
        <w:r>
          <w:rPr>
            <w:rFonts w:hint="eastAsia" w:ascii="仿宋" w:hAnsi="仿宋" w:eastAsia="仿宋" w:cs="仿宋"/>
            <w:b w:val="0"/>
            <w:color w:val="auto"/>
            <w:sz w:val="28"/>
            <w:szCs w:val="28"/>
          </w:rPr>
          <w:delText>.10尽管</w:delText>
        </w:r>
      </w:del>
      <w:del w:id="26" w:author="hongl" w:date="2021-05-24T11:54:08Z">
        <w:r>
          <w:rPr>
            <w:rFonts w:hint="eastAsia" w:ascii="仿宋" w:hAnsi="仿宋" w:eastAsia="仿宋" w:cs="仿宋"/>
            <w:b w:val="0"/>
            <w:color w:val="auto"/>
            <w:sz w:val="28"/>
            <w:szCs w:val="28"/>
            <w:lang w:eastAsia="zh-CN"/>
          </w:rPr>
          <w:delText>委托方</w:delText>
        </w:r>
      </w:del>
      <w:del w:id="27" w:author="hongl" w:date="2021-05-24T11:54:08Z">
        <w:r>
          <w:rPr>
            <w:rFonts w:hint="eastAsia" w:ascii="仿宋" w:hAnsi="仿宋" w:eastAsia="仿宋" w:cs="仿宋"/>
            <w:b w:val="0"/>
            <w:color w:val="auto"/>
            <w:sz w:val="28"/>
            <w:szCs w:val="28"/>
          </w:rPr>
          <w:delText>已对拟转让债权瑕疵作出上述披露，但该债权仍然存在包括但不限于如下瑕疵，乙方受让贷款债权前，已充分了解甲方告知的下列事实：</w:delText>
        </w:r>
      </w:del>
    </w:p>
    <w:p>
      <w:pPr>
        <w:snapToGrid w:val="0"/>
        <w:spacing w:line="500" w:lineRule="exact"/>
        <w:ind w:firstLine="548" w:firstLineChars="196"/>
        <w:rPr>
          <w:del w:id="28" w:author="hongl" w:date="2021-05-24T11:54:08Z"/>
          <w:rFonts w:hint="eastAsia" w:ascii="仿宋" w:hAnsi="仿宋" w:eastAsia="仿宋" w:cs="仿宋"/>
          <w:b w:val="0"/>
          <w:color w:val="auto"/>
          <w:sz w:val="28"/>
          <w:szCs w:val="28"/>
        </w:rPr>
      </w:pPr>
      <w:del w:id="29" w:author="hongl" w:date="2021-05-24T11:54:08Z">
        <w:r>
          <w:rPr>
            <w:rFonts w:hint="eastAsia" w:ascii="仿宋" w:hAnsi="仿宋" w:eastAsia="仿宋" w:cs="仿宋"/>
            <w:b w:val="0"/>
            <w:color w:val="auto"/>
            <w:sz w:val="28"/>
            <w:szCs w:val="28"/>
            <w:lang w:eastAsia="zh-CN"/>
          </w:rPr>
          <w:delText>（</w:delText>
        </w:r>
      </w:del>
      <w:del w:id="30" w:author="hongl" w:date="2021-05-24T11:54:08Z">
        <w:r>
          <w:rPr>
            <w:rFonts w:hint="eastAsia" w:ascii="仿宋" w:hAnsi="仿宋" w:eastAsia="仿宋" w:cs="仿宋"/>
            <w:b w:val="0"/>
            <w:color w:val="auto"/>
            <w:sz w:val="28"/>
            <w:szCs w:val="28"/>
            <w:lang w:val="en-US" w:eastAsia="zh-CN"/>
          </w:rPr>
          <w:delText>1</w:delText>
        </w:r>
      </w:del>
      <w:del w:id="31" w:author="hongl" w:date="2021-05-24T11:54:08Z">
        <w:r>
          <w:rPr>
            <w:rFonts w:hint="eastAsia" w:ascii="仿宋" w:hAnsi="仿宋" w:eastAsia="仿宋" w:cs="仿宋"/>
            <w:b w:val="0"/>
            <w:color w:val="auto"/>
            <w:sz w:val="28"/>
            <w:szCs w:val="28"/>
            <w:lang w:eastAsia="zh-CN"/>
          </w:rPr>
          <w:delText>）</w:delText>
        </w:r>
      </w:del>
      <w:del w:id="32" w:author="hongl" w:date="2021-05-24T11:54:08Z">
        <w:r>
          <w:rPr>
            <w:rFonts w:hint="eastAsia" w:ascii="仿宋" w:hAnsi="仿宋" w:eastAsia="仿宋" w:cs="仿宋"/>
            <w:b w:val="0"/>
            <w:color w:val="auto"/>
            <w:sz w:val="28"/>
            <w:szCs w:val="28"/>
          </w:rPr>
          <w:delText>该户债权主债务人已被法院裁定破产清算，原抵押物已拍卖处置，破产受偿款已受偿，且已冲减债权本金。</w:delText>
        </w:r>
      </w:del>
    </w:p>
    <w:p>
      <w:pPr>
        <w:snapToGrid w:val="0"/>
        <w:spacing w:line="500" w:lineRule="exact"/>
        <w:ind w:firstLine="548" w:firstLineChars="196"/>
        <w:rPr>
          <w:del w:id="33" w:author="hongl" w:date="2021-05-24T11:54:08Z"/>
          <w:rFonts w:hint="eastAsia" w:ascii="仿宋" w:hAnsi="仿宋" w:eastAsia="仿宋" w:cs="仿宋"/>
          <w:b w:val="0"/>
          <w:color w:val="auto"/>
          <w:sz w:val="28"/>
          <w:szCs w:val="28"/>
          <w:lang w:val="en-US" w:eastAsia="zh-CN"/>
        </w:rPr>
      </w:pPr>
      <w:del w:id="34" w:author="hongl" w:date="2021-05-24T11:54:08Z">
        <w:r>
          <w:rPr>
            <w:rFonts w:hint="eastAsia" w:ascii="仿宋" w:hAnsi="仿宋" w:eastAsia="仿宋" w:cs="仿宋"/>
            <w:b w:val="0"/>
            <w:color w:val="auto"/>
            <w:sz w:val="28"/>
            <w:szCs w:val="28"/>
            <w:lang w:val="en-US" w:eastAsia="zh-CN"/>
          </w:rPr>
          <w:delText>（2）</w:delText>
        </w:r>
      </w:del>
      <w:del w:id="35" w:author="hongl" w:date="2021-05-24T11:54:08Z">
        <w:r>
          <w:rPr>
            <w:rFonts w:hint="eastAsia" w:ascii="仿宋" w:hAnsi="仿宋" w:eastAsia="仿宋" w:cs="仿宋"/>
            <w:b w:val="0"/>
            <w:color w:val="auto"/>
            <w:sz w:val="28"/>
            <w:szCs w:val="28"/>
          </w:rPr>
          <w:delText>该户债权</w:delText>
        </w:r>
      </w:del>
      <w:del w:id="36" w:author="hongl" w:date="2021-05-24T11:54:08Z">
        <w:r>
          <w:rPr>
            <w:rFonts w:hint="eastAsia" w:ascii="仿宋" w:hAnsi="仿宋" w:eastAsia="仿宋" w:cs="仿宋"/>
            <w:b w:val="0"/>
            <w:color w:val="auto"/>
            <w:sz w:val="28"/>
            <w:szCs w:val="28"/>
            <w:lang w:val="en-US" w:eastAsia="zh-CN"/>
          </w:rPr>
          <w:delText>未对借款人及保证人进行诉讼，</w:delText>
        </w:r>
      </w:del>
      <w:del w:id="37" w:author="hongl" w:date="2021-05-24T11:54:08Z">
        <w:r>
          <w:rPr>
            <w:rFonts w:hint="eastAsia" w:ascii="仿宋" w:hAnsi="仿宋" w:eastAsia="仿宋" w:cs="仿宋"/>
            <w:b w:val="0"/>
            <w:color w:val="auto"/>
            <w:sz w:val="28"/>
            <w:szCs w:val="28"/>
          </w:rPr>
          <w:delText>2017年12月26日，</w:delText>
        </w:r>
      </w:del>
      <w:del w:id="38" w:author="hongl" w:date="2021-05-24T11:54:08Z">
        <w:r>
          <w:rPr>
            <w:rFonts w:hint="eastAsia" w:ascii="仿宋" w:hAnsi="仿宋" w:eastAsia="仿宋" w:cs="仿宋"/>
            <w:b w:val="0"/>
            <w:color w:val="auto"/>
            <w:sz w:val="28"/>
            <w:szCs w:val="28"/>
            <w:lang w:eastAsia="zh-CN"/>
          </w:rPr>
          <w:delText>委托方</w:delText>
        </w:r>
      </w:del>
      <w:del w:id="39" w:author="hongl" w:date="2021-05-24T11:54:08Z">
        <w:r>
          <w:rPr>
            <w:rFonts w:hint="eastAsia" w:ascii="仿宋" w:hAnsi="仿宋" w:eastAsia="仿宋" w:cs="仿宋"/>
            <w:b w:val="0"/>
            <w:color w:val="auto"/>
            <w:sz w:val="28"/>
            <w:szCs w:val="28"/>
          </w:rPr>
          <w:delText>与浦发银行在法制报社发布联合转让暨催收公告，2019年11月5日，</w:delText>
        </w:r>
      </w:del>
      <w:del w:id="40" w:author="hongl" w:date="2021-05-24T11:54:08Z">
        <w:r>
          <w:rPr>
            <w:rFonts w:hint="eastAsia" w:ascii="仿宋" w:hAnsi="仿宋" w:eastAsia="仿宋" w:cs="仿宋"/>
            <w:b w:val="0"/>
            <w:color w:val="auto"/>
            <w:sz w:val="28"/>
            <w:szCs w:val="28"/>
            <w:lang w:eastAsia="zh-CN"/>
          </w:rPr>
          <w:delText>委托方</w:delText>
        </w:r>
      </w:del>
      <w:del w:id="41" w:author="hongl" w:date="2021-05-24T11:54:08Z">
        <w:r>
          <w:rPr>
            <w:rFonts w:hint="eastAsia" w:ascii="仿宋" w:hAnsi="仿宋" w:eastAsia="仿宋" w:cs="仿宋"/>
            <w:b w:val="0"/>
            <w:color w:val="auto"/>
            <w:sz w:val="28"/>
            <w:szCs w:val="28"/>
          </w:rPr>
          <w:delText>在山东法制报刊登催收公告，对借款人及保证人进行催收，所涉保证人可能存在脱保风险。</w:delText>
        </w:r>
      </w:del>
    </w:p>
    <w:p>
      <w:pPr>
        <w:snapToGrid w:val="0"/>
        <w:spacing w:line="500" w:lineRule="exact"/>
        <w:ind w:firstLine="548" w:firstLineChars="196"/>
        <w:rPr>
          <w:rFonts w:hint="eastAsia" w:ascii="仿宋" w:hAnsi="仿宋" w:eastAsia="仿宋" w:cs="仿宋"/>
          <w:color w:val="auto"/>
          <w:sz w:val="28"/>
          <w:szCs w:val="28"/>
        </w:rPr>
      </w:pPr>
      <w:bookmarkStart w:id="0" w:name="_GoBack"/>
      <w:bookmarkEnd w:id="0"/>
      <w:r>
        <w:rPr>
          <w:rFonts w:hint="eastAsia" w:ascii="仿宋" w:hAnsi="仿宋" w:eastAsia="仿宋" w:cs="仿宋"/>
          <w:color w:val="auto"/>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s="仿宋"/>
          <w:color w:val="auto"/>
          <w:sz w:val="28"/>
          <w:szCs w:val="28"/>
          <w:lang w:eastAsia="zh-CN"/>
        </w:rPr>
        <w:t>拍卖人、</w:t>
      </w:r>
      <w:r>
        <w:rPr>
          <w:rFonts w:hint="eastAsia" w:ascii="仿宋" w:hAnsi="仿宋" w:eastAsia="仿宋" w:cs="仿宋"/>
          <w:color w:val="auto"/>
          <w:sz w:val="28"/>
          <w:szCs w:val="28"/>
        </w:rPr>
        <w:t>长城公司山东分公司及前手权利人不承担任何责任。</w:t>
      </w:r>
    </w:p>
    <w:p>
      <w:pPr>
        <w:snapToGrid w:val="0"/>
        <w:spacing w:line="500" w:lineRule="exact"/>
        <w:ind w:firstLine="548" w:firstLineChars="196"/>
        <w:rPr>
          <w:rFonts w:hint="eastAsia" w:ascii="仿宋" w:hAnsi="仿宋" w:eastAsia="仿宋" w:cs="仿宋"/>
          <w:b w:val="0"/>
          <w:bCs w:val="0"/>
          <w:sz w:val="28"/>
          <w:szCs w:val="28"/>
        </w:rPr>
      </w:pPr>
      <w:r>
        <w:rPr>
          <w:rFonts w:hint="eastAsia" w:ascii="仿宋" w:hAnsi="仿宋" w:eastAsia="仿宋" w:cs="仿宋"/>
          <w:b w:val="0"/>
          <w:bCs w:val="0"/>
          <w:color w:val="auto"/>
          <w:sz w:val="28"/>
          <w:szCs w:val="28"/>
          <w:lang w:eastAsia="zh-CN"/>
        </w:rPr>
        <w:t>竞买人</w:t>
      </w:r>
      <w:r>
        <w:rPr>
          <w:rFonts w:hint="eastAsia" w:ascii="仿宋" w:hAnsi="仿宋" w:eastAsia="仿宋" w:cs="仿宋"/>
          <w:b w:val="0"/>
          <w:bCs w:val="0"/>
          <w:color w:val="auto"/>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napToGrid w:val="0"/>
        <w:spacing w:line="500" w:lineRule="exact"/>
        <w:ind w:firstLine="548" w:firstLineChars="196"/>
        <w:rPr>
          <w:rFonts w:hint="eastAsia" w:ascii="仿宋" w:hAnsi="仿宋" w:eastAsia="仿宋" w:cs="仿宋"/>
          <w:color w:val="000000"/>
          <w:sz w:val="28"/>
          <w:szCs w:val="28"/>
        </w:rPr>
      </w:pPr>
    </w:p>
    <w:p>
      <w:pPr>
        <w:spacing w:line="500" w:lineRule="exact"/>
        <w:ind w:firstLine="562" w:firstLineChars="200"/>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竞买人签字</w:t>
      </w:r>
      <w:r>
        <w:rPr>
          <w:rFonts w:hint="eastAsia" w:ascii="仿宋" w:hAnsi="仿宋" w:eastAsia="仿宋" w:cs="仿宋"/>
          <w:b/>
          <w:bCs/>
          <w:color w:val="000000"/>
          <w:sz w:val="28"/>
          <w:szCs w:val="28"/>
          <w:lang w:val="en-US" w:eastAsia="zh-CN"/>
        </w:rPr>
        <w:t xml:space="preserve"> (单位公章)：</w:t>
      </w: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光彩银星拍卖有限公司</w:t>
      </w:r>
      <w:r>
        <w:rPr>
          <w:rFonts w:hint="eastAsia" w:ascii="仿宋" w:hAnsi="仿宋" w:eastAsia="仿宋" w:cs="仿宋"/>
          <w:b/>
          <w:bCs/>
          <w:color w:val="000000"/>
          <w:sz w:val="28"/>
          <w:szCs w:val="28"/>
          <w:lang w:val="en-US" w:eastAsia="zh-CN"/>
        </w:rPr>
        <w:t xml:space="preserve">  </w:t>
      </w:r>
    </w:p>
    <w:p>
      <w:pPr>
        <w:spacing w:line="50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2021年5月27日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25A1E52"/>
    <w:rsid w:val="0345226B"/>
    <w:rsid w:val="072B1C68"/>
    <w:rsid w:val="096C0BCF"/>
    <w:rsid w:val="0DB4363B"/>
    <w:rsid w:val="0FFD501F"/>
    <w:rsid w:val="10275A60"/>
    <w:rsid w:val="10D43807"/>
    <w:rsid w:val="17580747"/>
    <w:rsid w:val="1919739F"/>
    <w:rsid w:val="1C877397"/>
    <w:rsid w:val="1DBC563E"/>
    <w:rsid w:val="1F8220EA"/>
    <w:rsid w:val="21917C3D"/>
    <w:rsid w:val="21ED4D71"/>
    <w:rsid w:val="22102F4D"/>
    <w:rsid w:val="24575584"/>
    <w:rsid w:val="24E03205"/>
    <w:rsid w:val="26767A40"/>
    <w:rsid w:val="28A511BD"/>
    <w:rsid w:val="3031111E"/>
    <w:rsid w:val="3256430F"/>
    <w:rsid w:val="357A3A25"/>
    <w:rsid w:val="3581054D"/>
    <w:rsid w:val="3723716F"/>
    <w:rsid w:val="3A3A28D6"/>
    <w:rsid w:val="411421CE"/>
    <w:rsid w:val="465D2D4B"/>
    <w:rsid w:val="48853BDF"/>
    <w:rsid w:val="4A7A41D8"/>
    <w:rsid w:val="4A8F1DB8"/>
    <w:rsid w:val="4B3451EA"/>
    <w:rsid w:val="4B50378B"/>
    <w:rsid w:val="4BE44644"/>
    <w:rsid w:val="4D2571AF"/>
    <w:rsid w:val="4F390BF3"/>
    <w:rsid w:val="503D3E3A"/>
    <w:rsid w:val="54FF48AC"/>
    <w:rsid w:val="5B1478F6"/>
    <w:rsid w:val="5B8E1592"/>
    <w:rsid w:val="5E086704"/>
    <w:rsid w:val="5E6758CB"/>
    <w:rsid w:val="5F390517"/>
    <w:rsid w:val="62DD20EE"/>
    <w:rsid w:val="62E55BBC"/>
    <w:rsid w:val="645E0C0F"/>
    <w:rsid w:val="64B97B44"/>
    <w:rsid w:val="69FC0C75"/>
    <w:rsid w:val="6B524C0D"/>
    <w:rsid w:val="6BBB1A5F"/>
    <w:rsid w:val="6D4F101F"/>
    <w:rsid w:val="6E7B57DF"/>
    <w:rsid w:val="70F43792"/>
    <w:rsid w:val="7181238A"/>
    <w:rsid w:val="71FB6A51"/>
    <w:rsid w:val="74F3142E"/>
    <w:rsid w:val="77612958"/>
    <w:rsid w:val="7B2A1A27"/>
    <w:rsid w:val="7E3C66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7"/>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toc 2"/>
    <w:basedOn w:val="1"/>
    <w:next w:val="1"/>
    <w:qFormat/>
    <w:uiPriority w:val="0"/>
    <w:pPr>
      <w:ind w:left="420" w:leftChars="200"/>
    </w:pPr>
  </w:style>
  <w:style w:type="paragraph" w:customStyle="1" w:styleId="12">
    <w:name w:val="_Style 7"/>
    <w:basedOn w:val="1"/>
    <w:link w:val="11"/>
    <w:qFormat/>
    <w:uiPriority w:val="0"/>
  </w:style>
  <w:style w:type="character" w:styleId="13">
    <w:name w:val="page number"/>
    <w:basedOn w:val="11"/>
    <w:qFormat/>
    <w:uiPriority w:val="0"/>
  </w:style>
  <w:style w:type="paragraph" w:customStyle="1" w:styleId="14">
    <w:name w:val="Char"/>
    <w:basedOn w:val="1"/>
    <w:qFormat/>
    <w:uiPriority w:val="0"/>
  </w:style>
  <w:style w:type="paragraph" w:customStyle="1" w:styleId="15">
    <w:name w:val="默认段落字体 Para Char Char Char Char Char Char Char"/>
    <w:basedOn w:val="1"/>
    <w:qFormat/>
    <w:uiPriority w:val="0"/>
  </w:style>
  <w:style w:type="paragraph" w:customStyle="1" w:styleId="16">
    <w:name w:val=" Char"/>
    <w:basedOn w:val="1"/>
    <w:qFormat/>
    <w:uiPriority w:val="0"/>
  </w:style>
  <w:style w:type="character" w:customStyle="1" w:styleId="17">
    <w:name w:val="日期 Char"/>
    <w:link w:val="4"/>
    <w:qFormat/>
    <w:uiPriority w:val="0"/>
    <w:rPr>
      <w:kern w:val="2"/>
      <w:sz w:val="21"/>
      <w:szCs w:val="24"/>
    </w:rPr>
  </w:style>
  <w:style w:type="character" w:customStyle="1" w:styleId="18">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2021-05-24T03:54:09Z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A88F7E26F94E4E0FA3B87EF23177C425</vt:lpwstr>
  </property>
</Properties>
</file>