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Lines="50" w:line="600" w:lineRule="exact"/>
        <w:jc w:val="center"/>
        <w:textAlignment w:val="auto"/>
        <w:rPr>
          <w:rFonts w:hint="eastAsia" w:ascii="微软雅黑" w:hAnsi="微软雅黑" w:eastAsia="微软雅黑" w:cs="微软雅黑"/>
          <w:sz w:val="44"/>
          <w:szCs w:val="44"/>
        </w:rPr>
      </w:pPr>
      <w:r>
        <w:rPr>
          <w:rFonts w:hint="eastAsia" w:ascii="微软雅黑" w:hAnsi="微软雅黑" w:eastAsia="微软雅黑" w:cs="微软雅黑"/>
          <w:sz w:val="44"/>
          <w:szCs w:val="44"/>
        </w:rPr>
        <w:t>网络拍卖竞拍须知</w:t>
      </w:r>
    </w:p>
    <w:p>
      <w:pPr>
        <w:pStyle w:val="2"/>
        <w:spacing w:before="0" w:after="0" w:line="420" w:lineRule="exact"/>
        <w:jc w:val="center"/>
        <w:rPr>
          <w:rFonts w:hint="eastAsia" w:ascii="宋体" w:hAnsi="宋体" w:eastAsia="宋体" w:cs="宋体"/>
          <w:sz w:val="28"/>
          <w:szCs w:val="28"/>
        </w:rPr>
      </w:pPr>
      <w:r>
        <w:rPr>
          <w:rFonts w:hint="eastAsia" w:ascii="宋体" w:hAnsi="宋体" w:eastAsia="宋体" w:cs="宋体"/>
          <w:sz w:val="28"/>
          <w:szCs w:val="28"/>
        </w:rPr>
        <w:t>第一章  总则</w:t>
      </w:r>
    </w:p>
    <w:p>
      <w:pPr>
        <w:pageBreakBefore w:val="0"/>
        <w:kinsoku/>
        <w:wordWrap/>
        <w:overflowPunct/>
        <w:topLinePunct w:val="0"/>
        <w:bidi w:val="0"/>
        <w:snapToGrid/>
        <w:spacing w:line="320" w:lineRule="exact"/>
        <w:ind w:firstLine="420"/>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 根据《中华人民共和国合同法》、《中华人民共和国拍卖法》及相关法律规定, 由湖北</w:t>
      </w:r>
      <w:r>
        <w:rPr>
          <w:rFonts w:hint="eastAsia" w:ascii="宋体" w:hAnsi="宋体" w:eastAsia="宋体" w:cs="宋体"/>
          <w:sz w:val="28"/>
          <w:szCs w:val="28"/>
          <w:lang w:eastAsia="zh-CN"/>
        </w:rPr>
        <w:t>金龙湾</w:t>
      </w:r>
      <w:r>
        <w:rPr>
          <w:rFonts w:hint="eastAsia" w:ascii="宋体" w:hAnsi="宋体" w:eastAsia="宋体" w:cs="宋体"/>
          <w:sz w:val="28"/>
          <w:szCs w:val="28"/>
        </w:rPr>
        <w:t>拍卖有限公司全权负责本次拍卖活动，为了规范拍卖行为，维护拍卖秩序，保护拍卖活动各方当事人的合法权益，遵循公开、公平、公正、诚实信用的原则，特制定本标的网络拍卖竞拍须知。</w:t>
      </w:r>
    </w:p>
    <w:p>
      <w:pPr>
        <w:pageBreakBefore w:val="0"/>
        <w:kinsoku/>
        <w:wordWrap/>
        <w:overflowPunct/>
        <w:topLinePunct w:val="0"/>
        <w:bidi w:val="0"/>
        <w:snapToGrid/>
        <w:spacing w:line="320" w:lineRule="exact"/>
        <w:ind w:firstLine="420"/>
        <w:jc w:val="left"/>
        <w:textAlignment w:val="auto"/>
        <w:rPr>
          <w:rFonts w:hint="eastAsia" w:ascii="宋体" w:hAnsi="宋体" w:eastAsia="宋体" w:cs="宋体"/>
          <w:sz w:val="28"/>
          <w:szCs w:val="28"/>
        </w:rPr>
      </w:pP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sz w:val="28"/>
          <w:szCs w:val="28"/>
        </w:rPr>
      </w:pPr>
      <w:bookmarkStart w:id="0" w:name="_Toc520378982"/>
      <w:r>
        <w:rPr>
          <w:rFonts w:hint="eastAsia" w:ascii="宋体" w:hAnsi="宋体" w:eastAsia="宋体" w:cs="宋体"/>
          <w:sz w:val="28"/>
          <w:szCs w:val="28"/>
        </w:rPr>
        <w:t>第二章  拍卖当事人定义</w:t>
      </w:r>
      <w:bookmarkEnd w:id="0"/>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拍卖人:湖北</w:t>
      </w:r>
      <w:r>
        <w:rPr>
          <w:rFonts w:hint="eastAsia" w:ascii="宋体" w:hAnsi="宋体" w:eastAsia="宋体" w:cs="宋体"/>
          <w:sz w:val="28"/>
          <w:szCs w:val="28"/>
          <w:lang w:eastAsia="zh-CN"/>
        </w:rPr>
        <w:t>金龙湾</w:t>
      </w:r>
      <w:r>
        <w:rPr>
          <w:rFonts w:hint="eastAsia" w:ascii="宋体" w:hAnsi="宋体" w:eastAsia="宋体" w:cs="宋体"/>
          <w:sz w:val="28"/>
          <w:szCs w:val="28"/>
        </w:rPr>
        <w:t>拍卖有限公司</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竞买人:参加竞拍标的的自然人、法人和其他组织</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买受人:以最高应价竞得拍卖标的的竞买人</w:t>
      </w:r>
    </w:p>
    <w:p>
      <w:pPr>
        <w:pageBreakBefore w:val="0"/>
        <w:kinsoku/>
        <w:wordWrap/>
        <w:overflowPunct/>
        <w:topLinePunct w:val="0"/>
        <w:bidi w:val="0"/>
        <w:snapToGrid/>
        <w:spacing w:line="320" w:lineRule="exact"/>
        <w:jc w:val="left"/>
        <w:textAlignment w:val="auto"/>
        <w:rPr>
          <w:rFonts w:hint="eastAsia" w:ascii="宋体" w:hAnsi="宋体" w:eastAsia="宋体" w:cs="宋体"/>
          <w:sz w:val="28"/>
          <w:szCs w:val="28"/>
        </w:rPr>
      </w:pP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sz w:val="28"/>
          <w:szCs w:val="28"/>
        </w:rPr>
      </w:pPr>
      <w:bookmarkStart w:id="1" w:name="_Toc520378983"/>
      <w:r>
        <w:rPr>
          <w:rFonts w:hint="eastAsia" w:ascii="宋体" w:hAnsi="宋体" w:eastAsia="宋体" w:cs="宋体"/>
          <w:sz w:val="28"/>
          <w:szCs w:val="28"/>
        </w:rPr>
        <w:t>第三章  拍卖标的</w:t>
      </w:r>
      <w:bookmarkEnd w:id="1"/>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第一条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拍卖标的</w:t>
      </w:r>
      <w:r>
        <w:rPr>
          <w:rFonts w:hint="eastAsia" w:ascii="宋体" w:hAnsi="宋体" w:cs="宋体"/>
          <w:sz w:val="28"/>
          <w:szCs w:val="28"/>
          <w:lang w:val="en-US" w:eastAsia="zh-CN"/>
        </w:rPr>
        <w:t>为汪聪收购、销售没有合法来源凭证的河道砂石</w:t>
      </w:r>
      <w:r>
        <w:rPr>
          <w:rFonts w:hint="eastAsia" w:ascii="宋体" w:hAnsi="宋体" w:eastAsia="宋体" w:cs="宋体"/>
          <w:sz w:val="28"/>
          <w:szCs w:val="28"/>
        </w:rPr>
        <w:t>，估算约</w:t>
      </w:r>
      <w:r>
        <w:rPr>
          <w:rFonts w:hint="eastAsia" w:ascii="宋体" w:hAnsi="宋体" w:cs="宋体"/>
          <w:sz w:val="28"/>
          <w:szCs w:val="28"/>
          <w:lang w:val="en-US" w:eastAsia="zh-CN"/>
        </w:rPr>
        <w:t>1650</w:t>
      </w:r>
      <w:r>
        <w:rPr>
          <w:rFonts w:hint="eastAsia" w:ascii="宋体" w:hAnsi="宋体" w:eastAsia="宋体" w:cs="宋体"/>
          <w:sz w:val="28"/>
          <w:szCs w:val="28"/>
        </w:rPr>
        <w:t>吨。</w:t>
      </w:r>
      <w:r>
        <w:rPr>
          <w:rFonts w:hint="eastAsia" w:ascii="宋体" w:hAnsi="宋体" w:eastAsia="宋体" w:cs="宋体"/>
          <w:sz w:val="28"/>
          <w:szCs w:val="28"/>
          <w:lang w:eastAsia="zh-CN"/>
        </w:rPr>
        <w:t>拍卖起拍价：</w:t>
      </w:r>
      <w:r>
        <w:rPr>
          <w:rFonts w:hint="eastAsia" w:ascii="宋体" w:hAnsi="宋体" w:cs="宋体"/>
          <w:sz w:val="28"/>
          <w:szCs w:val="28"/>
          <w:lang w:val="en-US" w:eastAsia="zh-CN"/>
        </w:rPr>
        <w:t>6.5万元</w:t>
      </w:r>
      <w:r>
        <w:rPr>
          <w:rFonts w:hint="eastAsia" w:ascii="宋体" w:hAnsi="宋体" w:eastAsia="宋体" w:cs="宋体"/>
          <w:sz w:val="28"/>
          <w:szCs w:val="28"/>
          <w:lang w:eastAsia="zh-CN"/>
        </w:rPr>
        <w:t>；竞买</w:t>
      </w:r>
      <w:r>
        <w:rPr>
          <w:rFonts w:hint="eastAsia" w:ascii="宋体" w:hAnsi="宋体" w:eastAsia="宋体" w:cs="宋体"/>
          <w:sz w:val="28"/>
          <w:szCs w:val="28"/>
        </w:rPr>
        <w:t>保证金：</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万元</w:t>
      </w:r>
      <w:r>
        <w:rPr>
          <w:rFonts w:hint="eastAsia" w:ascii="宋体" w:hAnsi="宋体" w:eastAsia="宋体" w:cs="宋体"/>
          <w:sz w:val="28"/>
          <w:szCs w:val="28"/>
          <w:lang w:eastAsia="zh-CN"/>
        </w:rPr>
        <w:t>；</w:t>
      </w:r>
      <w:r>
        <w:rPr>
          <w:rFonts w:hint="eastAsia" w:ascii="宋体" w:hAnsi="宋体" w:eastAsia="宋体" w:cs="宋体"/>
          <w:sz w:val="28"/>
          <w:szCs w:val="28"/>
        </w:rPr>
        <w:t>增价幅度：0.</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万元</w:t>
      </w:r>
      <w:r>
        <w:rPr>
          <w:rFonts w:hint="eastAsia" w:ascii="宋体" w:hAnsi="宋体" w:eastAsia="宋体" w:cs="宋体"/>
          <w:sz w:val="28"/>
          <w:szCs w:val="28"/>
        </w:rPr>
        <w:t>。竞拍时间：</w:t>
      </w:r>
      <w:r>
        <w:rPr>
          <w:rFonts w:hint="eastAsia" w:ascii="宋体" w:hAnsi="宋体" w:cs="宋体"/>
          <w:sz w:val="28"/>
          <w:szCs w:val="28"/>
          <w:lang w:eastAsia="zh-CN"/>
        </w:rPr>
        <w:t>2021年6月</w:t>
      </w:r>
      <w:r>
        <w:rPr>
          <w:rFonts w:hint="eastAsia" w:ascii="宋体" w:hAnsi="宋体" w:cs="宋体"/>
          <w:sz w:val="28"/>
          <w:szCs w:val="28"/>
          <w:lang w:val="en-US" w:eastAsia="zh-CN"/>
        </w:rPr>
        <w:t>11</w:t>
      </w:r>
      <w:r>
        <w:rPr>
          <w:rFonts w:hint="eastAsia" w:ascii="宋体" w:hAnsi="宋体" w:cs="宋体"/>
          <w:sz w:val="28"/>
          <w:szCs w:val="28"/>
          <w:lang w:eastAsia="zh-CN"/>
        </w:rPr>
        <w:t>日9时至10时</w:t>
      </w:r>
      <w:r>
        <w:rPr>
          <w:rFonts w:hint="eastAsia" w:ascii="宋体" w:hAnsi="宋体" w:eastAsia="宋体" w:cs="宋体"/>
          <w:sz w:val="28"/>
          <w:szCs w:val="28"/>
        </w:rPr>
        <w:t>（延时的除外）</w:t>
      </w:r>
      <w:r>
        <w:rPr>
          <w:rFonts w:hint="eastAsia" w:ascii="宋体" w:hAnsi="宋体" w:cs="宋体"/>
          <w:sz w:val="28"/>
          <w:szCs w:val="28"/>
          <w:lang w:eastAsia="zh-CN"/>
        </w:rPr>
        <w:t>。</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第二条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竞买保证金、拍卖成交款收取账户</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户  名：湖北</w:t>
      </w:r>
      <w:r>
        <w:rPr>
          <w:rFonts w:hint="eastAsia" w:ascii="宋体" w:hAnsi="宋体" w:eastAsia="宋体" w:cs="宋体"/>
          <w:sz w:val="28"/>
          <w:szCs w:val="28"/>
          <w:lang w:eastAsia="zh-CN"/>
        </w:rPr>
        <w:t>金龙湾</w:t>
      </w:r>
      <w:r>
        <w:rPr>
          <w:rFonts w:hint="eastAsia" w:ascii="宋体" w:hAnsi="宋体" w:eastAsia="宋体" w:cs="宋体"/>
          <w:sz w:val="28"/>
          <w:szCs w:val="28"/>
        </w:rPr>
        <w:t>拍卖有限公司</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开户银行：湖北</w:t>
      </w:r>
      <w:r>
        <w:rPr>
          <w:rFonts w:hint="eastAsia" w:ascii="宋体" w:hAnsi="宋体" w:eastAsia="宋体" w:cs="宋体"/>
          <w:sz w:val="28"/>
          <w:szCs w:val="28"/>
          <w:lang w:eastAsia="zh-CN"/>
        </w:rPr>
        <w:t>潜江农村商业银行股份有限公司章华支行</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账  号：</w:t>
      </w:r>
      <w:r>
        <w:rPr>
          <w:rFonts w:hint="eastAsia" w:ascii="宋体" w:hAnsi="宋体" w:eastAsia="宋体" w:cs="宋体"/>
          <w:sz w:val="28"/>
          <w:szCs w:val="28"/>
          <w:lang w:val="en-US" w:eastAsia="zh-CN"/>
        </w:rPr>
        <w:t>8201  0000  0005  85042</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第三条：本次拍卖公告在《中国商网》（http://www.zgswcn.com/）、《</w:t>
      </w:r>
      <w:r>
        <w:rPr>
          <w:rFonts w:hint="eastAsia" w:ascii="宋体" w:hAnsi="宋体" w:cs="宋体"/>
          <w:sz w:val="28"/>
          <w:szCs w:val="28"/>
          <w:lang w:eastAsia="zh-CN"/>
        </w:rPr>
        <w:t>洪力自助公益拍卖平台</w:t>
      </w:r>
      <w:r>
        <w:rPr>
          <w:rFonts w:hint="eastAsia" w:ascii="宋体" w:hAnsi="宋体" w:eastAsia="宋体" w:cs="宋体"/>
          <w:sz w:val="28"/>
          <w:szCs w:val="28"/>
        </w:rPr>
        <w:t>》（</w:t>
      </w:r>
      <w:r>
        <w:rPr>
          <w:rFonts w:hint="eastAsia" w:ascii="宋体" w:hAnsi="宋体" w:cs="宋体"/>
          <w:sz w:val="28"/>
          <w:szCs w:val="28"/>
          <w:lang w:eastAsia="zh-CN"/>
        </w:rPr>
        <w:t>www.honglipai.net</w:t>
      </w:r>
      <w:r>
        <w:rPr>
          <w:rFonts w:hint="eastAsia" w:ascii="宋体" w:hAnsi="宋体" w:eastAsia="宋体" w:cs="宋体"/>
          <w:sz w:val="28"/>
          <w:szCs w:val="28"/>
        </w:rPr>
        <w:t>）上发布。</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第四条：拍卖人对标的的描述</w:t>
      </w:r>
      <w:r>
        <w:rPr>
          <w:rFonts w:hint="eastAsia" w:ascii="宋体" w:hAnsi="宋体" w:eastAsia="宋体" w:cs="宋体"/>
          <w:sz w:val="28"/>
          <w:szCs w:val="28"/>
          <w:lang w:eastAsia="zh-CN"/>
        </w:rPr>
        <w:t>均</w:t>
      </w:r>
      <w:r>
        <w:rPr>
          <w:rFonts w:hint="eastAsia" w:ascii="宋体" w:hAnsi="宋体" w:eastAsia="宋体" w:cs="宋体"/>
          <w:sz w:val="28"/>
          <w:szCs w:val="28"/>
        </w:rPr>
        <w:t>依据委托人提供的《评估报告》等资料中载明的数据和信息，仅供竞买人报名和竞价时参考，拍卖人、委托人不承担标的的瑕疵担保责任。</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竞买人须亲自实地踏勘标的物，自行了解拍卖标的实际情况。竞买人一旦作出竞买决定，即表明已完全了解，并接受标的物的现状和一切已知及未知的瑕疵。并愿意对自己参与此次拍卖行为承担法律责任。</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第五条：本次</w:t>
      </w:r>
      <w:r>
        <w:rPr>
          <w:rFonts w:hint="eastAsia" w:ascii="宋体" w:hAnsi="宋体" w:eastAsia="宋体" w:cs="宋体"/>
          <w:sz w:val="28"/>
          <w:szCs w:val="28"/>
          <w:lang w:eastAsia="zh-CN"/>
        </w:rPr>
        <w:t>拍卖标的</w:t>
      </w:r>
      <w:r>
        <w:rPr>
          <w:rFonts w:hint="eastAsia" w:ascii="宋体" w:hAnsi="宋体" w:eastAsia="宋体" w:cs="宋体"/>
          <w:sz w:val="28"/>
          <w:szCs w:val="28"/>
        </w:rPr>
        <w:t>为“设有保留价”拍卖。竞买人在平台上看到的初始价格，为拍卖标的的起拍价，并不是设定的保留价。</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如果最后拍卖结果低于保留价，拍卖人有权宣布本次拍卖不成交。如果最后拍卖结果达到或高于保留价，拍卖人则宣布本次拍卖成交。</w:t>
      </w:r>
    </w:p>
    <w:p>
      <w:pPr>
        <w:pageBreakBefore w:val="0"/>
        <w:kinsoku/>
        <w:wordWrap/>
        <w:overflowPunct/>
        <w:topLinePunct w:val="0"/>
        <w:bidi w:val="0"/>
        <w:snapToGrid/>
        <w:spacing w:line="320" w:lineRule="exact"/>
        <w:textAlignment w:val="auto"/>
        <w:rPr>
          <w:rFonts w:hint="eastAsia" w:ascii="宋体" w:hAnsi="宋体" w:eastAsia="宋体" w:cs="宋体"/>
          <w:color w:val="000000"/>
          <w:sz w:val="28"/>
          <w:szCs w:val="28"/>
        </w:rPr>
      </w:pP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bookmarkStart w:id="2" w:name="_Toc520378984"/>
      <w:r>
        <w:rPr>
          <w:rFonts w:hint="eastAsia" w:ascii="宋体" w:hAnsi="宋体" w:eastAsia="宋体" w:cs="宋体"/>
          <w:color w:val="000000"/>
          <w:sz w:val="28"/>
          <w:szCs w:val="28"/>
        </w:rPr>
        <w:t>第四章  竞买人的权利与义务</w:t>
      </w:r>
      <w:bookmarkEnd w:id="2"/>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第六条：竞买人资质要求</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凡具备完全民事行为能力的公民、法人和其他组织均可参加竞买。竞买人报名时需提供有效身份证明文件（自然人提供居民身份证的原件或复印件；法人和其他组织提供营业执照、法定代表人居民身份证；需要授权委托的需提供授权委托书、授权委托人居民身份证）。</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符合资质的竞买人需在</w:t>
      </w:r>
      <w:r>
        <w:rPr>
          <w:rFonts w:hint="eastAsia" w:ascii="宋体" w:hAnsi="宋体" w:cs="宋体"/>
          <w:color w:val="000000"/>
          <w:sz w:val="28"/>
          <w:szCs w:val="28"/>
          <w:lang w:eastAsia="zh-CN"/>
        </w:rPr>
        <w:t>2021年6月</w:t>
      </w:r>
      <w:r>
        <w:rPr>
          <w:rFonts w:hint="eastAsia" w:ascii="宋体" w:hAnsi="宋体" w:cs="宋体"/>
          <w:color w:val="000000"/>
          <w:sz w:val="28"/>
          <w:szCs w:val="28"/>
          <w:lang w:val="en-US" w:eastAsia="zh-CN"/>
        </w:rPr>
        <w:t>10</w:t>
      </w:r>
      <w:r>
        <w:rPr>
          <w:rFonts w:hint="eastAsia" w:ascii="宋体" w:hAnsi="宋体" w:cs="宋体"/>
          <w:color w:val="000000"/>
          <w:sz w:val="28"/>
          <w:szCs w:val="28"/>
          <w:lang w:eastAsia="zh-CN"/>
        </w:rPr>
        <w:t>日17时</w:t>
      </w:r>
      <w:r>
        <w:rPr>
          <w:rFonts w:hint="eastAsia" w:ascii="宋体" w:hAnsi="宋体" w:eastAsia="宋体" w:cs="宋体"/>
          <w:color w:val="000000"/>
          <w:sz w:val="28"/>
          <w:szCs w:val="28"/>
        </w:rPr>
        <w:t>（含，下同）前，将竞买保证金</w:t>
      </w:r>
      <w:r>
        <w:rPr>
          <w:rFonts w:hint="eastAsia" w:ascii="宋体" w:hAnsi="宋体" w:cs="宋体"/>
          <w:color w:val="000000"/>
          <w:sz w:val="28"/>
          <w:szCs w:val="28"/>
          <w:lang w:val="en-US" w:eastAsia="zh-CN"/>
        </w:rPr>
        <w:t>人民币贰</w:t>
      </w:r>
      <w:r>
        <w:rPr>
          <w:rFonts w:hint="eastAsia" w:ascii="宋体" w:hAnsi="宋体" w:eastAsia="宋体" w:cs="宋体"/>
          <w:color w:val="000000"/>
          <w:sz w:val="28"/>
          <w:szCs w:val="28"/>
        </w:rPr>
        <w:t>万元（¥</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0,000.00）汇入拍卖人指定账户，在报名截止时间前，拍卖人未收到竞买人缴纳的竞买保证金的，该竞买人将无权参加本次拍卖。</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第七条：</w:t>
      </w:r>
      <w:r>
        <w:rPr>
          <w:rFonts w:hint="eastAsia" w:ascii="宋体" w:hAnsi="宋体" w:eastAsia="宋体" w:cs="宋体"/>
          <w:b w:val="0"/>
          <w:bCs w:val="0"/>
          <w:color w:val="000000"/>
          <w:sz w:val="28"/>
          <w:szCs w:val="28"/>
        </w:rPr>
        <w:t>竞买人需阅读并同意网络竞拍须知及其所有附件的所有条款，并逐页小签或加盖骑缝章，竞买人需签字、盖章后本竞拍须知方才有效。如系授权代表签字，需提供法定代表人授权委托书原件作为附件，否则所签署的竞拍须知无效。本竞拍须知打印一份签署后需将原件在</w:t>
      </w:r>
      <w:r>
        <w:rPr>
          <w:rFonts w:hint="eastAsia" w:ascii="宋体" w:hAnsi="宋体" w:cs="宋体"/>
          <w:b w:val="0"/>
          <w:bCs w:val="0"/>
          <w:color w:val="000000"/>
          <w:sz w:val="28"/>
          <w:szCs w:val="28"/>
          <w:lang w:eastAsia="zh-CN"/>
        </w:rPr>
        <w:t>2021年6月</w:t>
      </w:r>
      <w:r>
        <w:rPr>
          <w:rFonts w:hint="eastAsia" w:ascii="宋体" w:hAnsi="宋体" w:cs="宋体"/>
          <w:b w:val="0"/>
          <w:bCs w:val="0"/>
          <w:color w:val="000000"/>
          <w:sz w:val="28"/>
          <w:szCs w:val="28"/>
          <w:lang w:val="en-US" w:eastAsia="zh-CN"/>
        </w:rPr>
        <w:t>10</w:t>
      </w:r>
      <w:r>
        <w:rPr>
          <w:rFonts w:hint="eastAsia" w:ascii="宋体" w:hAnsi="宋体" w:cs="宋体"/>
          <w:b w:val="0"/>
          <w:bCs w:val="0"/>
          <w:color w:val="000000"/>
          <w:sz w:val="28"/>
          <w:szCs w:val="28"/>
          <w:lang w:eastAsia="zh-CN"/>
        </w:rPr>
        <w:t>日17时</w:t>
      </w:r>
      <w:r>
        <w:rPr>
          <w:rFonts w:hint="eastAsia" w:ascii="宋体" w:hAnsi="宋体" w:eastAsia="宋体" w:cs="宋体"/>
          <w:b w:val="0"/>
          <w:bCs w:val="0"/>
          <w:color w:val="000000"/>
          <w:sz w:val="28"/>
          <w:szCs w:val="28"/>
        </w:rPr>
        <w:t>（拍卖人</w:t>
      </w:r>
      <w:r>
        <w:rPr>
          <w:rFonts w:hint="eastAsia" w:ascii="宋体" w:hAnsi="宋体" w:eastAsia="宋体" w:cs="宋体"/>
          <w:color w:val="000000"/>
          <w:sz w:val="28"/>
          <w:szCs w:val="28"/>
        </w:rPr>
        <w:t>签收截止日期）前寄至或送至拍卖人。</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第八条：竞买人有实地踏勘的权利</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本次拍卖的标的自公告之日起至拍卖日前在标的所在地进行展示，竞买人需自行实地踏勘。</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第九条：竞买人有放弃实地踏勘的权利</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如竞买人确认不实地踏勘或在规定的时间未实地踏勘的，视为竞买人对本次拍卖标的的各项权利义务、标的瑕疵有充分了解，拍卖成交后对移交标的物时出现的任何问题，委托人与拍卖人将不予解释，买受人需无条件接受。因竞买人未能实地踏勘带来的一切损失由竞买人自行负责，与拍卖人、委托人无关。</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第十条：竞买人有要求培训的权利</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竞买人有权要求拍卖人对网络拍卖系统的操作方法进行培训，须于</w:t>
      </w:r>
      <w:r>
        <w:rPr>
          <w:rFonts w:hint="eastAsia" w:ascii="宋体" w:hAnsi="宋体" w:cs="宋体"/>
          <w:color w:val="000000"/>
          <w:sz w:val="28"/>
          <w:szCs w:val="28"/>
          <w:lang w:eastAsia="zh-CN"/>
        </w:rPr>
        <w:t>2021年6月</w:t>
      </w:r>
      <w:r>
        <w:rPr>
          <w:rFonts w:hint="eastAsia" w:ascii="宋体" w:hAnsi="宋体" w:cs="宋体"/>
          <w:color w:val="000000"/>
          <w:sz w:val="28"/>
          <w:szCs w:val="28"/>
          <w:lang w:val="en-US" w:eastAsia="zh-CN"/>
        </w:rPr>
        <w:t>10</w:t>
      </w:r>
      <w:r>
        <w:rPr>
          <w:rFonts w:hint="eastAsia" w:ascii="宋体" w:hAnsi="宋体" w:cs="宋体"/>
          <w:color w:val="000000"/>
          <w:sz w:val="28"/>
          <w:szCs w:val="28"/>
          <w:lang w:eastAsia="zh-CN"/>
        </w:rPr>
        <w:t>日17时前</w:t>
      </w:r>
      <w:r>
        <w:rPr>
          <w:rFonts w:hint="eastAsia" w:ascii="宋体" w:hAnsi="宋体" w:eastAsia="宋体" w:cs="宋体"/>
          <w:color w:val="000000"/>
          <w:sz w:val="28"/>
          <w:szCs w:val="28"/>
        </w:rPr>
        <w:t>与拍卖人联系，接受拍卖人的培训。培训结束后，将签署的《已参加培训的竞买人确认函》原件交拍卖人。竞买人在规定时间内没有与拍卖人联系要求培训的，拍卖人将视竞买人自动放弃培训的权利。</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第十一条：竞买人应对其自行注册的竞拍账号与密码的安全性、保密性负责，通过该拍卖账号和密码所做出的应价，视为竞买人的应价行为，由此产生的一切后果，由竞买人自行承担。</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第十二条：竞买人必须严格遵守相关的要求与承诺，对不符合承诺的行为视为违约，竞买人应承担相应违约责任。</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第十三条：竞买人须严守商业秘密，不得以任何形式向第三方透露相关资料、数据和其它信息。</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bookmarkStart w:id="3" w:name="_Toc520378985"/>
      <w:r>
        <w:rPr>
          <w:rFonts w:hint="eastAsia" w:ascii="宋体" w:hAnsi="宋体" w:eastAsia="宋体" w:cs="宋体"/>
          <w:color w:val="000000"/>
          <w:sz w:val="28"/>
          <w:szCs w:val="28"/>
        </w:rPr>
        <w:t>第五章  拍卖人的权利与义务</w:t>
      </w:r>
      <w:bookmarkEnd w:id="3"/>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第十四条：拍卖人对标的进行网络拍卖，在审核竞买人提供的所有报名文件及竞拍须知规定的手续符合要求后，在拍卖日前一天确认竞买人的竞买资格。拍卖人在拍卖前确认竞买人发生本章第十九条任一条</w:t>
      </w:r>
      <w:r>
        <w:rPr>
          <w:rFonts w:hint="eastAsia" w:ascii="宋体" w:hAnsi="宋体" w:eastAsia="宋体" w:cs="宋体"/>
          <w:color w:val="000000"/>
          <w:sz w:val="28"/>
          <w:szCs w:val="28"/>
          <w:lang w:eastAsia="zh-CN"/>
        </w:rPr>
        <w:t>款的</w:t>
      </w:r>
      <w:r>
        <w:rPr>
          <w:rFonts w:hint="eastAsia" w:ascii="宋体" w:hAnsi="宋体" w:eastAsia="宋体" w:cs="宋体"/>
          <w:color w:val="000000"/>
          <w:sz w:val="28"/>
          <w:szCs w:val="28"/>
        </w:rPr>
        <w:t>情况，拍卖人将有权不确认竞买人的竞买资格。</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第十五条：对于未成交的竞买人，拍卖人将在拍卖活动结束后</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个工作日内</w:t>
      </w:r>
      <w:r>
        <w:rPr>
          <w:rFonts w:hint="eastAsia" w:ascii="宋体" w:hAnsi="宋体" w:eastAsia="宋体" w:cs="宋体"/>
          <w:color w:val="000000"/>
          <w:sz w:val="28"/>
          <w:szCs w:val="28"/>
          <w:lang w:eastAsia="zh-CN"/>
        </w:rPr>
        <w:t>无息</w:t>
      </w:r>
      <w:r>
        <w:rPr>
          <w:rFonts w:hint="eastAsia" w:ascii="宋体" w:hAnsi="宋体" w:eastAsia="宋体" w:cs="宋体"/>
          <w:color w:val="000000"/>
          <w:sz w:val="28"/>
          <w:szCs w:val="28"/>
        </w:rPr>
        <w:t>退还竞买保证金。</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第十六条：在拍卖前任何时间，拍卖人有权根据委托人的要求发出书面通知对标的进行修改或撤回。</w:t>
      </w:r>
    </w:p>
    <w:p>
      <w:pPr>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b/>
          <w:bCs/>
          <w:sz w:val="28"/>
          <w:szCs w:val="28"/>
        </w:rPr>
      </w:pPr>
      <w:r>
        <w:rPr>
          <w:rFonts w:hint="eastAsia" w:ascii="宋体" w:hAnsi="宋体" w:eastAsia="宋体" w:cs="宋体"/>
          <w:sz w:val="28"/>
          <w:szCs w:val="28"/>
        </w:rPr>
        <w:t>第十七条：</w:t>
      </w:r>
      <w:r>
        <w:rPr>
          <w:rFonts w:hint="eastAsia" w:ascii="宋体" w:hAnsi="宋体" w:eastAsia="宋体" w:cs="宋体"/>
          <w:b/>
          <w:bCs/>
          <w:sz w:val="28"/>
          <w:szCs w:val="28"/>
        </w:rPr>
        <w:t>本次拍卖成交后，拍卖人按照拍卖实际成交总额的5%向买受人收取拍卖佣金。</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第十八条：拍卖人有义务与买受人签署《拍卖成交确认书》。</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第十九条：发生以下任一条情况，拍卖人有权取消竞买人的竞拍资格。</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1、竞买人的资质不符合要求的；</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2、竞买人在报名截止前没有支付竞买保证金的；</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3、竞买人在报名截止前未将签署的《网络拍卖竞拍须知》原件以及其他报名资料寄至或送至拍卖人的；</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4、竞买人签署的文件经拍卖人审核不符合要求的。</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第二十条: 拍卖人须为委托人、买受人严守秘密，不得以任何形式向任何第三方透露相关信息。</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第二十一条:拍卖成交后，拍卖人不负责</w:t>
      </w:r>
      <w:r>
        <w:rPr>
          <w:rFonts w:hint="eastAsia" w:ascii="宋体" w:hAnsi="宋体" w:eastAsia="宋体" w:cs="宋体"/>
          <w:color w:val="000000"/>
          <w:sz w:val="28"/>
          <w:szCs w:val="28"/>
          <w:lang w:eastAsia="zh-CN"/>
        </w:rPr>
        <w:t>买受人</w:t>
      </w:r>
      <w:r>
        <w:rPr>
          <w:rFonts w:hint="eastAsia" w:ascii="宋体" w:hAnsi="宋体" w:eastAsia="宋体" w:cs="宋体"/>
          <w:color w:val="000000"/>
          <w:sz w:val="28"/>
          <w:szCs w:val="28"/>
        </w:rPr>
        <w:t>提供拍卖成交价款的税务买卖发票。</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第二十二条:本次拍卖的标的仅以现状进行拍卖。拍卖人对标的所作的描述</w:t>
      </w:r>
      <w:r>
        <w:rPr>
          <w:rFonts w:hint="eastAsia" w:ascii="宋体" w:hAnsi="宋体" w:eastAsia="宋体" w:cs="宋体"/>
          <w:color w:val="000000"/>
          <w:sz w:val="28"/>
          <w:szCs w:val="28"/>
          <w:lang w:eastAsia="zh-CN"/>
        </w:rPr>
        <w:t>均</w:t>
      </w:r>
      <w:r>
        <w:rPr>
          <w:rFonts w:hint="eastAsia" w:ascii="宋体" w:hAnsi="宋体" w:eastAsia="宋体" w:cs="宋体"/>
          <w:color w:val="000000"/>
          <w:sz w:val="28"/>
          <w:szCs w:val="28"/>
        </w:rPr>
        <w:t>依据委托人提供的标的《评估报告书》中载明的数据和信息，仅供参考。若有误差，将不影响本次拍卖成交价款。</w:t>
      </w:r>
    </w:p>
    <w:p>
      <w:pPr>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bookmarkStart w:id="4" w:name="_Toc520378986"/>
      <w:r>
        <w:rPr>
          <w:rFonts w:hint="eastAsia" w:ascii="宋体" w:hAnsi="宋体" w:eastAsia="宋体" w:cs="宋体"/>
          <w:color w:val="000000"/>
          <w:sz w:val="28"/>
          <w:szCs w:val="28"/>
        </w:rPr>
        <w:t>第六章  买受人的权利与义务</w:t>
      </w:r>
      <w:bookmarkEnd w:id="4"/>
    </w:p>
    <w:p>
      <w:pPr>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第二十三条：本着</w:t>
      </w:r>
      <w:r>
        <w:rPr>
          <w:rFonts w:hint="eastAsia" w:ascii="宋体" w:hAnsi="宋体" w:eastAsia="宋体" w:cs="宋体"/>
          <w:color w:val="000000"/>
          <w:sz w:val="28"/>
          <w:szCs w:val="28"/>
          <w:lang w:eastAsia="zh-CN"/>
        </w:rPr>
        <w:t>公开、公平、公正、诚实信用</w:t>
      </w:r>
      <w:r>
        <w:rPr>
          <w:rFonts w:hint="eastAsia" w:ascii="宋体" w:hAnsi="宋体" w:eastAsia="宋体" w:cs="宋体"/>
          <w:color w:val="000000"/>
          <w:sz w:val="28"/>
          <w:szCs w:val="28"/>
        </w:rPr>
        <w:t>、价高者得原则，对拍卖标的进行多轮出价，最终应价最高者为买受人。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第二十四条：</w:t>
      </w:r>
      <w:r>
        <w:rPr>
          <w:rFonts w:hint="eastAsia" w:ascii="宋体" w:hAnsi="宋体" w:eastAsia="宋体" w:cs="宋体"/>
          <w:sz w:val="28"/>
          <w:szCs w:val="28"/>
        </w:rPr>
        <w:t>买受人应按照系统成交价的一定比例向</w:t>
      </w:r>
      <w:r>
        <w:rPr>
          <w:rFonts w:hint="eastAsia" w:ascii="宋体" w:hAnsi="宋体" w:cs="宋体"/>
          <w:sz w:val="28"/>
          <w:szCs w:val="28"/>
          <w:lang w:eastAsia="zh-CN"/>
        </w:rPr>
        <w:t>洪力自助公益拍卖平台</w:t>
      </w:r>
      <w:r>
        <w:rPr>
          <w:rFonts w:hint="eastAsia" w:ascii="宋体" w:hAnsi="宋体" w:eastAsia="宋体" w:cs="宋体"/>
          <w:sz w:val="28"/>
          <w:szCs w:val="28"/>
        </w:rPr>
        <w:t>支付软件使用费（具体收费标准以</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"https://paimai.caa123.org.cn/pages/help/helpcenter_charge.html" \t "https://paimai.caa123.org.cn/shop/_blank" </w:instrText>
      </w:r>
      <w:r>
        <w:rPr>
          <w:rFonts w:hint="eastAsia" w:ascii="宋体" w:hAnsi="宋体" w:eastAsia="宋体" w:cs="宋体"/>
          <w:sz w:val="28"/>
          <w:szCs w:val="28"/>
        </w:rPr>
        <w:fldChar w:fldCharType="separate"/>
      </w:r>
      <w:r>
        <w:rPr>
          <w:rFonts w:hint="eastAsia" w:ascii="宋体" w:hAnsi="宋体" w:cs="宋体"/>
          <w:sz w:val="28"/>
          <w:szCs w:val="28"/>
          <w:lang w:eastAsia="zh-CN"/>
        </w:rPr>
        <w:t>洪力自助公益拍卖平台</w:t>
      </w:r>
      <w:r>
        <w:rPr>
          <w:rFonts w:hint="default" w:ascii="宋体" w:hAnsi="宋体" w:eastAsia="宋体" w:cs="宋体"/>
          <w:sz w:val="28"/>
          <w:szCs w:val="28"/>
        </w:rPr>
        <w:t>公示的收费</w:t>
      </w:r>
      <w:r>
        <w:rPr>
          <w:rFonts w:hint="default" w:ascii="宋体" w:hAnsi="宋体" w:eastAsia="宋体" w:cs="宋体"/>
          <w:sz w:val="28"/>
          <w:szCs w:val="28"/>
        </w:rPr>
        <w:fldChar w:fldCharType="end"/>
      </w:r>
      <w:r>
        <w:rPr>
          <w:rFonts w:hint="eastAsia" w:ascii="宋体" w:hAnsi="宋体" w:eastAsia="宋体" w:cs="宋体"/>
          <w:sz w:val="28"/>
          <w:szCs w:val="28"/>
        </w:rPr>
        <w:t>规则或标的物详情中页面显示的收费比例为准）。</w:t>
      </w:r>
    </w:p>
    <w:p>
      <w:pPr>
        <w:pStyle w:val="5"/>
        <w:pageBreakBefore w:val="0"/>
        <w:kinsoku/>
        <w:wordWrap/>
        <w:overflowPunct/>
        <w:topLinePunct w:val="0"/>
        <w:bidi w:val="0"/>
        <w:snapToGrid/>
        <w:spacing w:line="320" w:lineRule="exact"/>
        <w:ind w:firstLine="562" w:firstLineChars="200"/>
        <w:jc w:val="both"/>
        <w:textAlignment w:val="auto"/>
        <w:rPr>
          <w:rFonts w:hint="eastAsia" w:ascii="宋体" w:hAnsi="宋体" w:eastAsia="宋体" w:cs="宋体"/>
          <w:b/>
          <w:bCs/>
          <w:color w:val="000000"/>
          <w:sz w:val="28"/>
          <w:szCs w:val="28"/>
          <w:lang w:val="en-US"/>
        </w:rPr>
      </w:pPr>
      <w:r>
        <w:rPr>
          <w:rFonts w:hint="eastAsia" w:ascii="宋体" w:hAnsi="宋体" w:eastAsia="宋体" w:cs="宋体"/>
          <w:b/>
          <w:bCs/>
          <w:color w:val="000000"/>
          <w:sz w:val="28"/>
          <w:szCs w:val="28"/>
        </w:rPr>
        <w:t>第二十</w:t>
      </w:r>
      <w:r>
        <w:rPr>
          <w:rFonts w:hint="eastAsia" w:ascii="宋体" w:hAnsi="宋体" w:cs="宋体"/>
          <w:b/>
          <w:bCs/>
          <w:color w:val="000000"/>
          <w:sz w:val="28"/>
          <w:szCs w:val="28"/>
          <w:lang w:eastAsia="zh-CN"/>
        </w:rPr>
        <w:t>五</w:t>
      </w:r>
      <w:r>
        <w:rPr>
          <w:rFonts w:hint="eastAsia" w:ascii="宋体" w:hAnsi="宋体" w:eastAsia="宋体" w:cs="宋体"/>
          <w:b/>
          <w:bCs/>
          <w:color w:val="000000"/>
          <w:sz w:val="28"/>
          <w:szCs w:val="28"/>
        </w:rPr>
        <w:t>条：</w:t>
      </w:r>
      <w:r>
        <w:rPr>
          <w:rFonts w:hint="eastAsia" w:ascii="宋体" w:hAnsi="宋体" w:eastAsia="宋体" w:cs="宋体"/>
          <w:b/>
          <w:bCs/>
          <w:color w:val="000000"/>
          <w:sz w:val="28"/>
          <w:szCs w:val="28"/>
          <w:lang w:val="en-US"/>
        </w:rPr>
        <w:t>买受人须在拍卖成交之日起2日内与拍卖人签署《拍卖成交确认书》。</w:t>
      </w:r>
    </w:p>
    <w:p>
      <w:pPr>
        <w:pageBreakBefore w:val="0"/>
        <w:kinsoku/>
        <w:wordWrap/>
        <w:overflowPunct/>
        <w:topLinePunct w:val="0"/>
        <w:bidi w:val="0"/>
        <w:snapToGrid/>
        <w:spacing w:line="320" w:lineRule="exact"/>
        <w:ind w:firstLine="562" w:firstLineChars="200"/>
        <w:jc w:val="left"/>
        <w:textAlignment w:val="auto"/>
        <w:rPr>
          <w:rFonts w:hint="eastAsia" w:ascii="宋体" w:hAnsi="宋体" w:eastAsia="宋体" w:cs="宋体"/>
          <w:b/>
          <w:bCs/>
          <w:color w:val="000000"/>
          <w:sz w:val="28"/>
          <w:szCs w:val="28"/>
        </w:rPr>
      </w:pPr>
      <w:r>
        <w:rPr>
          <w:rFonts w:hint="eastAsia" w:ascii="宋体" w:hAnsi="宋体" w:eastAsia="宋体" w:cs="宋体"/>
          <w:b/>
          <w:bCs/>
          <w:color w:val="000000"/>
          <w:kern w:val="0"/>
          <w:sz w:val="28"/>
          <w:szCs w:val="28"/>
        </w:rPr>
        <w:t>第二十</w:t>
      </w:r>
      <w:r>
        <w:rPr>
          <w:rFonts w:hint="eastAsia" w:ascii="宋体" w:hAnsi="宋体" w:cs="宋体"/>
          <w:b/>
          <w:bCs/>
          <w:color w:val="000000"/>
          <w:kern w:val="0"/>
          <w:sz w:val="28"/>
          <w:szCs w:val="28"/>
          <w:lang w:eastAsia="zh-CN"/>
        </w:rPr>
        <w:t>六</w:t>
      </w:r>
      <w:r>
        <w:rPr>
          <w:rFonts w:hint="eastAsia" w:ascii="宋体" w:hAnsi="宋体" w:eastAsia="宋体" w:cs="宋体"/>
          <w:b/>
          <w:bCs/>
          <w:color w:val="000000"/>
          <w:kern w:val="0"/>
          <w:sz w:val="28"/>
          <w:szCs w:val="28"/>
        </w:rPr>
        <w:t>条：</w:t>
      </w:r>
      <w:r>
        <w:rPr>
          <w:rFonts w:hint="eastAsia" w:ascii="宋体" w:hAnsi="宋体" w:cs="宋体"/>
          <w:b/>
          <w:bCs/>
          <w:color w:val="000000"/>
          <w:kern w:val="0"/>
          <w:sz w:val="28"/>
          <w:szCs w:val="28"/>
          <w:lang w:eastAsia="zh-CN"/>
        </w:rPr>
        <w:t>拍卖</w:t>
      </w:r>
      <w:r>
        <w:rPr>
          <w:rFonts w:hint="eastAsia" w:ascii="宋体" w:hAnsi="宋体" w:eastAsia="宋体" w:cs="宋体"/>
          <w:b/>
          <w:bCs/>
          <w:color w:val="000000"/>
          <w:kern w:val="0"/>
          <w:sz w:val="28"/>
          <w:szCs w:val="28"/>
        </w:rPr>
        <w:t>成交后，本标的</w:t>
      </w:r>
      <w:r>
        <w:rPr>
          <w:rFonts w:hint="eastAsia" w:ascii="宋体" w:hAnsi="宋体" w:cs="宋体"/>
          <w:b/>
          <w:bCs/>
          <w:color w:val="000000"/>
          <w:kern w:val="0"/>
          <w:sz w:val="28"/>
          <w:szCs w:val="28"/>
          <w:lang w:eastAsia="zh-CN"/>
        </w:rPr>
        <w:t>买受人</w:t>
      </w:r>
      <w:r>
        <w:rPr>
          <w:rFonts w:hint="eastAsia" w:ascii="宋体" w:hAnsi="宋体" w:eastAsia="宋体" w:cs="宋体"/>
          <w:b/>
          <w:bCs/>
          <w:color w:val="000000"/>
          <w:kern w:val="0"/>
          <w:sz w:val="28"/>
          <w:szCs w:val="28"/>
        </w:rPr>
        <w:t>原缴纳的竞买保证金自动转化为拍卖佣金</w:t>
      </w:r>
      <w:r>
        <w:rPr>
          <w:rFonts w:hint="eastAsia" w:ascii="宋体" w:hAnsi="宋体" w:eastAsia="宋体" w:cs="宋体"/>
          <w:b/>
          <w:bCs/>
          <w:color w:val="000000"/>
          <w:kern w:val="0"/>
          <w:sz w:val="28"/>
          <w:szCs w:val="28"/>
          <w:lang w:eastAsia="zh-CN"/>
        </w:rPr>
        <w:t>或移交保证金</w:t>
      </w:r>
      <w:r>
        <w:rPr>
          <w:rFonts w:hint="eastAsia" w:ascii="宋体" w:hAnsi="宋体" w:eastAsia="宋体" w:cs="宋体"/>
          <w:b/>
          <w:bCs/>
          <w:color w:val="000000"/>
          <w:kern w:val="0"/>
          <w:sz w:val="28"/>
          <w:szCs w:val="28"/>
        </w:rPr>
        <w:t>及成交价款</w:t>
      </w:r>
      <w:r>
        <w:rPr>
          <w:rFonts w:hint="eastAsia" w:ascii="宋体" w:hAnsi="宋体" w:eastAsia="宋体" w:cs="宋体"/>
          <w:b/>
          <w:bCs/>
          <w:color w:val="000000"/>
          <w:kern w:val="0"/>
          <w:sz w:val="28"/>
          <w:szCs w:val="28"/>
          <w:lang w:eastAsia="zh-CN"/>
        </w:rPr>
        <w:t>，</w:t>
      </w:r>
      <w:r>
        <w:rPr>
          <w:rFonts w:hint="eastAsia" w:ascii="宋体" w:hAnsi="宋体" w:eastAsia="宋体" w:cs="宋体"/>
          <w:b/>
          <w:bCs/>
          <w:color w:val="000000"/>
          <w:kern w:val="0"/>
          <w:sz w:val="28"/>
          <w:szCs w:val="28"/>
          <w:lang w:val="en-US" w:eastAsia="zh-CN"/>
        </w:rPr>
        <w:t>多退少补</w:t>
      </w:r>
      <w:r>
        <w:rPr>
          <w:rFonts w:hint="eastAsia" w:ascii="宋体" w:hAnsi="宋体" w:eastAsia="宋体" w:cs="宋体"/>
          <w:b/>
          <w:bCs/>
          <w:color w:val="000000"/>
          <w:kern w:val="0"/>
          <w:sz w:val="28"/>
          <w:szCs w:val="28"/>
        </w:rPr>
        <w:t>。买受人应在拍卖成交之日起2日内与拍卖人签署《拍卖成交确认书》，并在拍卖成交之日起</w:t>
      </w:r>
      <w:r>
        <w:rPr>
          <w:rFonts w:hint="eastAsia" w:ascii="宋体" w:hAnsi="宋体" w:cs="宋体"/>
          <w:b/>
          <w:bCs/>
          <w:color w:val="000000"/>
          <w:kern w:val="0"/>
          <w:sz w:val="28"/>
          <w:szCs w:val="28"/>
          <w:lang w:val="en-US" w:eastAsia="zh-CN"/>
        </w:rPr>
        <w:t>3</w:t>
      </w:r>
      <w:r>
        <w:rPr>
          <w:rFonts w:hint="eastAsia" w:ascii="宋体" w:hAnsi="宋体" w:eastAsia="宋体" w:cs="宋体"/>
          <w:b/>
          <w:bCs/>
          <w:color w:val="000000"/>
          <w:kern w:val="0"/>
          <w:sz w:val="28"/>
          <w:szCs w:val="28"/>
        </w:rPr>
        <w:t>日内向拍卖人指定帐户一次性付清拍卖成交款及</w:t>
      </w:r>
      <w:r>
        <w:rPr>
          <w:rFonts w:hint="eastAsia" w:ascii="宋体" w:hAnsi="宋体" w:cs="宋体"/>
          <w:b/>
          <w:bCs/>
          <w:color w:val="000000"/>
          <w:kern w:val="0"/>
          <w:sz w:val="28"/>
          <w:szCs w:val="28"/>
          <w:lang w:eastAsia="zh-CN"/>
        </w:rPr>
        <w:t>拍卖</w:t>
      </w:r>
      <w:r>
        <w:rPr>
          <w:rFonts w:hint="eastAsia" w:ascii="宋体" w:hAnsi="宋体" w:eastAsia="宋体" w:cs="宋体"/>
          <w:b/>
          <w:bCs/>
          <w:color w:val="000000"/>
          <w:kern w:val="0"/>
          <w:sz w:val="28"/>
          <w:szCs w:val="28"/>
        </w:rPr>
        <w:t>佣金。</w:t>
      </w:r>
    </w:p>
    <w:p>
      <w:pPr>
        <w:pageBreakBefore w:val="0"/>
        <w:kinsoku/>
        <w:wordWrap/>
        <w:overflowPunct/>
        <w:topLinePunct w:val="0"/>
        <w:bidi w:val="0"/>
        <w:snapToGrid/>
        <w:spacing w:line="320" w:lineRule="exact"/>
        <w:ind w:firstLine="562" w:firstLineChars="200"/>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w:t>
      </w:r>
      <w:r>
        <w:rPr>
          <w:rFonts w:hint="eastAsia" w:ascii="宋体" w:hAnsi="宋体" w:cs="宋体"/>
          <w:b/>
          <w:bCs/>
          <w:color w:val="000000"/>
          <w:kern w:val="0"/>
          <w:sz w:val="28"/>
          <w:szCs w:val="28"/>
          <w:lang w:eastAsia="zh-CN"/>
        </w:rPr>
        <w:t>七</w:t>
      </w:r>
      <w:r>
        <w:rPr>
          <w:rFonts w:hint="eastAsia" w:ascii="宋体" w:hAnsi="宋体" w:eastAsia="宋体" w:cs="宋体"/>
          <w:b/>
          <w:bCs/>
          <w:color w:val="000000"/>
          <w:kern w:val="0"/>
          <w:sz w:val="28"/>
          <w:szCs w:val="28"/>
        </w:rPr>
        <w:t>条：买受人付清全部款项后</w:t>
      </w:r>
      <w:r>
        <w:rPr>
          <w:rFonts w:hint="eastAsia" w:ascii="宋体" w:hAnsi="宋体" w:cs="宋体"/>
          <w:b/>
          <w:bCs/>
          <w:color w:val="000000"/>
          <w:kern w:val="0"/>
          <w:sz w:val="28"/>
          <w:szCs w:val="28"/>
          <w:lang w:val="en-US" w:eastAsia="zh-CN"/>
        </w:rPr>
        <w:t>2</w:t>
      </w:r>
      <w:r>
        <w:rPr>
          <w:rFonts w:hint="eastAsia" w:ascii="宋体" w:hAnsi="宋体" w:eastAsia="宋体" w:cs="宋体"/>
          <w:b/>
          <w:bCs/>
          <w:color w:val="000000"/>
          <w:kern w:val="0"/>
          <w:sz w:val="28"/>
          <w:szCs w:val="28"/>
        </w:rPr>
        <w:t>日内，凭《拍卖成交确认书》、付款凭证与原涉案船销售人员办理标的的移交手续，由原涉案船销售人员以标的现状向买受人移交。在办理完全部的移交手续后，原涉案船销售人员、监督人员及买受人在标的移交单上签字确认，买受人凭标的移交单到我公司办理保证金的退还手续。若买受人未能按照约定的时间办理完全部的移交手续，将由拍卖人按</w:t>
      </w:r>
      <w:r>
        <w:rPr>
          <w:rFonts w:hint="eastAsia" w:ascii="宋体" w:hAnsi="宋体" w:cs="宋体"/>
          <w:b/>
          <w:bCs/>
          <w:color w:val="000000"/>
          <w:kern w:val="0"/>
          <w:sz w:val="28"/>
          <w:szCs w:val="28"/>
          <w:lang w:val="en-US" w:eastAsia="zh-CN"/>
        </w:rPr>
        <w:t>5000元/天</w:t>
      </w:r>
      <w:r>
        <w:rPr>
          <w:rFonts w:hint="eastAsia" w:ascii="宋体" w:hAnsi="宋体" w:eastAsia="宋体" w:cs="宋体"/>
          <w:b/>
          <w:bCs/>
          <w:color w:val="000000"/>
          <w:kern w:val="0"/>
          <w:sz w:val="28"/>
          <w:szCs w:val="28"/>
        </w:rPr>
        <w:t>的标准在保证金中扣除相应违约金。</w:t>
      </w:r>
    </w:p>
    <w:p>
      <w:pPr>
        <w:pageBreakBefore w:val="0"/>
        <w:kinsoku/>
        <w:wordWrap/>
        <w:overflowPunct/>
        <w:topLinePunct w:val="0"/>
        <w:bidi w:val="0"/>
        <w:snapToGrid/>
        <w:spacing w:line="320" w:lineRule="exact"/>
        <w:ind w:firstLine="562" w:firstLineChars="200"/>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w:t>
      </w:r>
      <w:r>
        <w:rPr>
          <w:rFonts w:hint="eastAsia" w:ascii="宋体" w:hAnsi="宋体" w:cs="宋体"/>
          <w:b/>
          <w:bCs/>
          <w:color w:val="000000"/>
          <w:kern w:val="0"/>
          <w:sz w:val="28"/>
          <w:szCs w:val="28"/>
          <w:lang w:eastAsia="zh-CN"/>
        </w:rPr>
        <w:t>八</w:t>
      </w:r>
      <w:r>
        <w:rPr>
          <w:rFonts w:hint="eastAsia" w:ascii="宋体" w:hAnsi="宋体" w:eastAsia="宋体" w:cs="宋体"/>
          <w:b/>
          <w:bCs/>
          <w:color w:val="000000"/>
          <w:kern w:val="0"/>
          <w:sz w:val="28"/>
          <w:szCs w:val="28"/>
        </w:rPr>
        <w:t>条：标的的搬运、吊装、运输等工作由买受人自行负责，在搬运、吊装、运输等过程中，须严格执行国家及有关施工操作规程和安全操作标准，并要有专业技术人员负责。标的搬运、吊装、运输等过程中发生安全责任事故、意外事故及产生的税、费均由买受人自行承担。</w:t>
      </w:r>
    </w:p>
    <w:p>
      <w:pPr>
        <w:pageBreakBefore w:val="0"/>
        <w:kinsoku/>
        <w:wordWrap/>
        <w:overflowPunct/>
        <w:topLinePunct w:val="0"/>
        <w:bidi w:val="0"/>
        <w:snapToGrid/>
        <w:spacing w:line="320" w:lineRule="exact"/>
        <w:ind w:firstLine="562" w:firstLineChars="200"/>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w:t>
      </w:r>
      <w:r>
        <w:rPr>
          <w:rFonts w:hint="eastAsia" w:ascii="宋体" w:hAnsi="宋体" w:cs="宋体"/>
          <w:b/>
          <w:bCs/>
          <w:color w:val="000000"/>
          <w:kern w:val="0"/>
          <w:sz w:val="28"/>
          <w:szCs w:val="28"/>
          <w:lang w:eastAsia="zh-CN"/>
        </w:rPr>
        <w:t>九</w:t>
      </w:r>
      <w:r>
        <w:rPr>
          <w:rFonts w:hint="eastAsia" w:ascii="宋体" w:hAnsi="宋体" w:eastAsia="宋体" w:cs="宋体"/>
          <w:b/>
          <w:bCs/>
          <w:color w:val="000000"/>
          <w:kern w:val="0"/>
          <w:sz w:val="28"/>
          <w:szCs w:val="28"/>
        </w:rPr>
        <w:t>条：拍卖成交后，买受人不得以标的权属证明文件不全、存在质量安全、重量误差、装卸运输等过程中产生的任何事由向委托人和拍卖人提出诉讼，买受人自行承担标的拍卖成交后的一切法律责任及风险。</w:t>
      </w:r>
    </w:p>
    <w:p>
      <w:pPr>
        <w:pageBreakBefore w:val="0"/>
        <w:kinsoku/>
        <w:wordWrap/>
        <w:overflowPunct/>
        <w:topLinePunct w:val="0"/>
        <w:bidi w:val="0"/>
        <w:snapToGrid/>
        <w:spacing w:line="320" w:lineRule="exact"/>
        <w:ind w:firstLine="562" w:firstLineChars="200"/>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w:t>
      </w:r>
      <w:r>
        <w:rPr>
          <w:rFonts w:hint="eastAsia" w:ascii="宋体" w:hAnsi="宋体" w:cs="宋体"/>
          <w:b/>
          <w:bCs/>
          <w:color w:val="000000"/>
          <w:kern w:val="0"/>
          <w:sz w:val="28"/>
          <w:szCs w:val="28"/>
          <w:lang w:eastAsia="zh-CN"/>
        </w:rPr>
        <w:t>三</w:t>
      </w:r>
      <w:r>
        <w:rPr>
          <w:rFonts w:hint="eastAsia" w:ascii="宋体" w:hAnsi="宋体" w:eastAsia="宋体" w:cs="宋体"/>
          <w:b/>
          <w:bCs/>
          <w:color w:val="000000"/>
          <w:kern w:val="0"/>
          <w:sz w:val="28"/>
          <w:szCs w:val="28"/>
        </w:rPr>
        <w:t>十条：其他未尽事宜，由委托人与买受人协商解决。</w:t>
      </w: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bookmarkStart w:id="5" w:name="_Toc520378987"/>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第七章  拍卖规则</w:t>
      </w:r>
      <w:bookmarkEnd w:id="5"/>
    </w:p>
    <w:p>
      <w:pPr>
        <w:pageBreakBefore w:val="0"/>
        <w:kinsoku/>
        <w:wordWrap/>
        <w:overflowPunct/>
        <w:topLinePunct w:val="0"/>
        <w:bidi w:val="0"/>
        <w:snapToGrid/>
        <w:spacing w:line="320" w:lineRule="exact"/>
        <w:ind w:firstLine="420" w:firstLineChars="15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一</w:t>
      </w:r>
      <w:r>
        <w:rPr>
          <w:rFonts w:hint="eastAsia" w:ascii="宋体" w:hAnsi="宋体" w:eastAsia="宋体" w:cs="宋体"/>
          <w:color w:val="000000"/>
          <w:sz w:val="28"/>
          <w:szCs w:val="28"/>
        </w:rPr>
        <w:t>条：本次拍卖采用网络竞价方式。</w:t>
      </w:r>
    </w:p>
    <w:p>
      <w:pPr>
        <w:pageBreakBefore w:val="0"/>
        <w:kinsoku/>
        <w:wordWrap/>
        <w:overflowPunct/>
        <w:topLinePunct w:val="0"/>
        <w:bidi w:val="0"/>
        <w:snapToGrid/>
        <w:spacing w:line="320" w:lineRule="exact"/>
        <w:ind w:firstLine="420" w:firstLineChars="150"/>
        <w:jc w:val="left"/>
        <w:textAlignment w:val="auto"/>
        <w:rPr>
          <w:rFonts w:hint="eastAsia" w:ascii="宋体" w:hAnsi="宋体" w:eastAsia="宋体" w:cs="宋体"/>
          <w:vanish/>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二</w:t>
      </w:r>
      <w:r>
        <w:rPr>
          <w:rFonts w:hint="eastAsia" w:ascii="宋体" w:hAnsi="宋体" w:eastAsia="宋体" w:cs="宋体"/>
          <w:color w:val="000000"/>
          <w:sz w:val="28"/>
          <w:szCs w:val="28"/>
        </w:rPr>
        <w:t>条：网上拍卖方式与时间安排：</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vanish/>
          <w:color w:val="000000"/>
          <w:sz w:val="28"/>
          <w:szCs w:val="28"/>
        </w:rPr>
      </w:pP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vanish/>
          <w:color w:val="000000"/>
          <w:sz w:val="28"/>
          <w:szCs w:val="28"/>
        </w:rPr>
        <w:t>， 缴纳货款是否处置网上竞价中选确认书》后，逾期（</w:t>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p>
    <w:tbl>
      <w:tblPr>
        <w:tblStyle w:val="3"/>
        <w:tblW w:w="99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606"/>
        <w:gridCol w:w="1477"/>
        <w:gridCol w:w="235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03" w:type="dxa"/>
            <w:shd w:val="clear" w:color="auto" w:fill="BFBFBF"/>
            <w:vAlign w:val="center"/>
          </w:tcPr>
          <w:p>
            <w:pPr>
              <w:pageBreakBefore w:val="0"/>
              <w:kinsoku/>
              <w:wordWrap/>
              <w:overflowPunct/>
              <w:topLinePunct w:val="0"/>
              <w:bidi w:val="0"/>
              <w:snapToGrid/>
              <w:spacing w:line="320" w:lineRule="exact"/>
              <w:jc w:val="center"/>
              <w:textAlignment w:val="auto"/>
              <w:rPr>
                <w:rFonts w:hint="eastAsia" w:ascii="宋体" w:hAnsi="宋体" w:eastAsia="宋体"/>
                <w:color w:val="000000"/>
                <w:sz w:val="22"/>
                <w:szCs w:val="22"/>
                <w:lang w:eastAsia="zh-CN"/>
              </w:rPr>
            </w:pPr>
            <w:r>
              <w:rPr>
                <w:rFonts w:hint="eastAsia" w:ascii="宋体" w:hAnsi="宋体" w:eastAsia="宋体" w:cs="宋体"/>
                <w:color w:val="000000"/>
                <w:sz w:val="22"/>
                <w:szCs w:val="22"/>
                <w:lang w:eastAsia="zh-CN"/>
              </w:rPr>
              <w:t>拍卖标的</w:t>
            </w:r>
          </w:p>
        </w:tc>
        <w:tc>
          <w:tcPr>
            <w:tcW w:w="2606" w:type="dxa"/>
            <w:shd w:val="clear" w:color="auto" w:fill="BFBFBF"/>
            <w:vAlign w:val="center"/>
          </w:tcPr>
          <w:p>
            <w:pPr>
              <w:pageBreakBefore w:val="0"/>
              <w:kinsoku/>
              <w:wordWrap/>
              <w:overflowPunct/>
              <w:topLinePunct w:val="0"/>
              <w:bidi w:val="0"/>
              <w:snapToGrid/>
              <w:spacing w:line="320" w:lineRule="exact"/>
              <w:jc w:val="center"/>
              <w:textAlignment w:val="auto"/>
              <w:rPr>
                <w:rFonts w:ascii="宋体" w:hAnsi="宋体" w:eastAsia="宋体"/>
                <w:color w:val="000000"/>
                <w:sz w:val="22"/>
                <w:szCs w:val="22"/>
              </w:rPr>
            </w:pPr>
            <w:r>
              <w:rPr>
                <w:rFonts w:hint="eastAsia" w:ascii="宋体" w:hAnsi="宋体" w:eastAsia="宋体" w:cs="宋体"/>
                <w:color w:val="000000"/>
                <w:sz w:val="22"/>
                <w:szCs w:val="22"/>
              </w:rPr>
              <w:t>开始时间</w:t>
            </w:r>
          </w:p>
        </w:tc>
        <w:tc>
          <w:tcPr>
            <w:tcW w:w="1477" w:type="dxa"/>
            <w:shd w:val="clear" w:color="auto" w:fill="BFBFBF"/>
            <w:vAlign w:val="center"/>
          </w:tcPr>
          <w:p>
            <w:pPr>
              <w:pageBreakBefore w:val="0"/>
              <w:kinsoku/>
              <w:wordWrap/>
              <w:overflowPunct/>
              <w:topLinePunct w:val="0"/>
              <w:bidi w:val="0"/>
              <w:snapToGrid/>
              <w:spacing w:line="320" w:lineRule="exact"/>
              <w:jc w:val="center"/>
              <w:textAlignment w:val="auto"/>
              <w:rPr>
                <w:rFonts w:ascii="宋体" w:hAnsi="宋体" w:eastAsia="宋体"/>
                <w:color w:val="000000"/>
                <w:sz w:val="22"/>
                <w:szCs w:val="22"/>
              </w:rPr>
            </w:pPr>
            <w:r>
              <w:rPr>
                <w:rFonts w:hint="eastAsia" w:ascii="宋体" w:hAnsi="宋体" w:eastAsia="宋体" w:cs="宋体"/>
                <w:color w:val="000000"/>
                <w:sz w:val="22"/>
                <w:szCs w:val="22"/>
              </w:rPr>
              <w:t>竞价时间</w:t>
            </w:r>
          </w:p>
        </w:tc>
        <w:tc>
          <w:tcPr>
            <w:tcW w:w="2359" w:type="dxa"/>
            <w:shd w:val="clear" w:color="auto" w:fill="BFBFBF"/>
            <w:vAlign w:val="center"/>
          </w:tcPr>
          <w:p>
            <w:pPr>
              <w:pageBreakBefore w:val="0"/>
              <w:kinsoku/>
              <w:wordWrap/>
              <w:overflowPunct/>
              <w:topLinePunct w:val="0"/>
              <w:bidi w:val="0"/>
              <w:snapToGrid/>
              <w:spacing w:line="320" w:lineRule="exact"/>
              <w:jc w:val="center"/>
              <w:textAlignment w:val="auto"/>
              <w:rPr>
                <w:rFonts w:ascii="宋体" w:hAnsi="宋体" w:eastAsia="宋体"/>
                <w:color w:val="000000"/>
                <w:sz w:val="22"/>
                <w:szCs w:val="22"/>
              </w:rPr>
            </w:pPr>
            <w:r>
              <w:rPr>
                <w:rFonts w:hint="eastAsia" w:ascii="宋体" w:hAnsi="宋体" w:eastAsia="宋体" w:cs="宋体"/>
                <w:color w:val="000000"/>
                <w:sz w:val="22"/>
                <w:szCs w:val="22"/>
              </w:rPr>
              <w:t>结束方式</w:t>
            </w:r>
          </w:p>
        </w:tc>
        <w:tc>
          <w:tcPr>
            <w:tcW w:w="1155" w:type="dxa"/>
            <w:shd w:val="clear" w:color="auto" w:fill="BFBFBF"/>
            <w:vAlign w:val="center"/>
          </w:tcPr>
          <w:p>
            <w:pPr>
              <w:pageBreakBefore w:val="0"/>
              <w:kinsoku/>
              <w:wordWrap/>
              <w:overflowPunct/>
              <w:topLinePunct w:val="0"/>
              <w:bidi w:val="0"/>
              <w:snapToGrid/>
              <w:spacing w:line="320" w:lineRule="exact"/>
              <w:jc w:val="center"/>
              <w:textAlignment w:val="auto"/>
              <w:rPr>
                <w:rFonts w:ascii="宋体" w:hAnsi="宋体" w:eastAsia="宋体"/>
                <w:color w:val="000000"/>
                <w:sz w:val="22"/>
                <w:szCs w:val="22"/>
              </w:rPr>
            </w:pPr>
            <w:r>
              <w:rPr>
                <w:rFonts w:hint="eastAsia" w:ascii="宋体" w:hAnsi="宋体" w:eastAsia="宋体" w:cs="宋体"/>
                <w:color w:val="000000"/>
                <w:sz w:val="22"/>
                <w:szCs w:val="22"/>
              </w:rPr>
              <w:t>拍卖方式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303" w:type="dxa"/>
            <w:vAlign w:val="center"/>
          </w:tcPr>
          <w:p>
            <w:pPr>
              <w:pageBreakBefore w:val="0"/>
              <w:kinsoku/>
              <w:wordWrap/>
              <w:overflowPunct/>
              <w:topLinePunct w:val="0"/>
              <w:bidi w:val="0"/>
              <w:snapToGrid/>
              <w:spacing w:line="320" w:lineRule="exact"/>
              <w:jc w:val="center"/>
              <w:textAlignment w:val="auto"/>
              <w:rPr>
                <w:rFonts w:hint="eastAsia" w:ascii="宋体" w:hAnsi="宋体" w:eastAsia="宋体" w:cs="宋体"/>
                <w:color w:val="000000"/>
                <w:kern w:val="0"/>
                <w:sz w:val="22"/>
                <w:szCs w:val="22"/>
                <w:lang w:val="en-US" w:eastAsia="zh-CN"/>
              </w:rPr>
            </w:pPr>
            <w:r>
              <w:rPr>
                <w:rFonts w:hint="eastAsia" w:ascii="宋体" w:hAnsi="宋体" w:eastAsia="宋体" w:cs="宋体"/>
                <w:color w:val="000000"/>
                <w:sz w:val="22"/>
                <w:szCs w:val="22"/>
                <w:lang w:val="en-US" w:eastAsia="zh-CN"/>
              </w:rPr>
              <w:t>汪聪收购、销售没有合法来源凭证的河道砂石</w:t>
            </w:r>
          </w:p>
        </w:tc>
        <w:tc>
          <w:tcPr>
            <w:tcW w:w="2606" w:type="dxa"/>
            <w:vAlign w:val="center"/>
          </w:tcPr>
          <w:p>
            <w:pPr>
              <w:pageBreakBefore w:val="0"/>
              <w:kinsoku/>
              <w:wordWrap/>
              <w:overflowPunct/>
              <w:topLinePunct w:val="0"/>
              <w:bidi w:val="0"/>
              <w:snapToGrid/>
              <w:spacing w:line="320" w:lineRule="exact"/>
              <w:jc w:val="center"/>
              <w:textAlignment w:val="auto"/>
              <w:rPr>
                <w:rFonts w:hint="eastAsia" w:ascii="宋体" w:hAnsi="宋体" w:cs="宋体"/>
                <w:color w:val="000000"/>
                <w:sz w:val="22"/>
                <w:szCs w:val="22"/>
                <w:lang w:eastAsia="zh-CN"/>
              </w:rPr>
            </w:pPr>
            <w:r>
              <w:rPr>
                <w:rFonts w:hint="eastAsia" w:ascii="宋体" w:hAnsi="宋体" w:cs="宋体"/>
                <w:color w:val="000000"/>
                <w:sz w:val="22"/>
                <w:szCs w:val="22"/>
                <w:lang w:eastAsia="zh-CN"/>
              </w:rPr>
              <w:t>2021年6月</w:t>
            </w:r>
            <w:r>
              <w:rPr>
                <w:rFonts w:hint="eastAsia" w:ascii="宋体" w:hAnsi="宋体" w:cs="宋体"/>
                <w:color w:val="000000"/>
                <w:sz w:val="22"/>
                <w:szCs w:val="22"/>
                <w:lang w:val="en-US" w:eastAsia="zh-CN"/>
              </w:rPr>
              <w:t>11</w:t>
            </w:r>
            <w:r>
              <w:rPr>
                <w:rFonts w:hint="eastAsia" w:ascii="宋体" w:hAnsi="宋体" w:cs="宋体"/>
                <w:color w:val="000000"/>
                <w:sz w:val="22"/>
                <w:szCs w:val="22"/>
                <w:lang w:eastAsia="zh-CN"/>
              </w:rPr>
              <w:t>日</w:t>
            </w:r>
          </w:p>
          <w:p>
            <w:pPr>
              <w:pageBreakBefore w:val="0"/>
              <w:kinsoku/>
              <w:wordWrap/>
              <w:overflowPunct/>
              <w:topLinePunct w:val="0"/>
              <w:bidi w:val="0"/>
              <w:snapToGrid/>
              <w:spacing w:line="320" w:lineRule="exact"/>
              <w:jc w:val="center"/>
              <w:textAlignment w:val="auto"/>
              <w:rPr>
                <w:rFonts w:ascii="宋体" w:hAnsi="宋体" w:eastAsia="宋体" w:cs="宋体"/>
                <w:color w:val="000000"/>
                <w:sz w:val="22"/>
                <w:szCs w:val="22"/>
              </w:rPr>
            </w:pPr>
            <w:r>
              <w:rPr>
                <w:rFonts w:hint="eastAsia" w:ascii="宋体" w:hAnsi="宋体" w:cs="宋体"/>
                <w:color w:val="000000"/>
                <w:sz w:val="22"/>
                <w:szCs w:val="22"/>
                <w:lang w:val="en-US" w:eastAsia="zh-CN"/>
              </w:rPr>
              <w:t>9时至10时</w:t>
            </w:r>
          </w:p>
        </w:tc>
        <w:tc>
          <w:tcPr>
            <w:tcW w:w="1477" w:type="dxa"/>
            <w:vAlign w:val="center"/>
          </w:tcPr>
          <w:p>
            <w:pPr>
              <w:pageBreakBefore w:val="0"/>
              <w:kinsoku/>
              <w:wordWrap/>
              <w:overflowPunct/>
              <w:topLinePunct w:val="0"/>
              <w:bidi w:val="0"/>
              <w:snapToGrid/>
              <w:spacing w:line="320" w:lineRule="exact"/>
              <w:jc w:val="center"/>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w:t>
            </w:r>
            <w:r>
              <w:rPr>
                <w:rFonts w:hint="eastAsia" w:ascii="宋体" w:hAnsi="宋体" w:eastAsia="宋体" w:cs="宋体"/>
                <w:color w:val="000000"/>
                <w:kern w:val="0"/>
                <w:sz w:val="22"/>
                <w:szCs w:val="22"/>
              </w:rPr>
              <w:t>小时</w:t>
            </w:r>
          </w:p>
        </w:tc>
        <w:tc>
          <w:tcPr>
            <w:tcW w:w="2359" w:type="dxa"/>
            <w:vAlign w:val="center"/>
          </w:tcPr>
          <w:p>
            <w:pPr>
              <w:pageBreakBefore w:val="0"/>
              <w:kinsoku/>
              <w:wordWrap/>
              <w:overflowPunct/>
              <w:topLinePunct w:val="0"/>
              <w:bidi w:val="0"/>
              <w:snapToGrid/>
              <w:spacing w:line="320" w:lineRule="exact"/>
              <w:jc w:val="center"/>
              <w:textAlignment w:val="auto"/>
              <w:rPr>
                <w:rFonts w:ascii="宋体" w:hAnsi="宋体" w:eastAsia="宋体" w:cs="宋体"/>
                <w:color w:val="000000"/>
                <w:kern w:val="0"/>
                <w:sz w:val="22"/>
                <w:szCs w:val="22"/>
              </w:rPr>
            </w:pPr>
            <w:r>
              <w:rPr>
                <w:rFonts w:ascii="宋体" w:hAnsi="宋体" w:eastAsia="宋体" w:cs="宋体"/>
                <w:color w:val="000000"/>
                <w:kern w:val="0"/>
                <w:sz w:val="22"/>
                <w:szCs w:val="22"/>
              </w:rPr>
              <w:t>5</w:t>
            </w:r>
            <w:r>
              <w:rPr>
                <w:rFonts w:hint="eastAsia" w:ascii="宋体" w:hAnsi="宋体" w:eastAsia="宋体" w:cs="宋体"/>
                <w:color w:val="000000"/>
                <w:kern w:val="0"/>
                <w:sz w:val="22"/>
                <w:szCs w:val="22"/>
              </w:rPr>
              <w:t>分钟内无新最高应价即拍卖结束</w:t>
            </w:r>
          </w:p>
        </w:tc>
        <w:tc>
          <w:tcPr>
            <w:tcW w:w="1155" w:type="dxa"/>
            <w:vAlign w:val="center"/>
          </w:tcPr>
          <w:p>
            <w:pPr>
              <w:pageBreakBefore w:val="0"/>
              <w:kinsoku/>
              <w:wordWrap/>
              <w:overflowPunct/>
              <w:topLinePunct w:val="0"/>
              <w:bidi w:val="0"/>
              <w:snapToGrid/>
              <w:spacing w:line="32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增价拍卖</w:t>
            </w:r>
          </w:p>
        </w:tc>
      </w:tr>
    </w:tbl>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三</w:t>
      </w:r>
      <w:r>
        <w:rPr>
          <w:rFonts w:hint="eastAsia" w:ascii="宋体" w:hAnsi="宋体" w:eastAsia="宋体" w:cs="宋体"/>
          <w:color w:val="000000"/>
          <w:sz w:val="28"/>
          <w:szCs w:val="28"/>
        </w:rPr>
        <w:t>条：竞价规则</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网络拍卖从起拍价开始以增价拍卖方式竞价，竞买人以低于起拍价出价的无效。报价</w:t>
      </w:r>
      <w:r>
        <w:rPr>
          <w:rFonts w:hint="eastAsia" w:ascii="宋体" w:hAnsi="宋体" w:eastAsia="宋体" w:cs="宋体"/>
          <w:color w:val="000000"/>
          <w:sz w:val="28"/>
          <w:szCs w:val="28"/>
          <w:lang w:eastAsia="zh-CN"/>
        </w:rPr>
        <w:t>时间</w:t>
      </w:r>
      <w:r>
        <w:rPr>
          <w:rFonts w:hint="eastAsia" w:ascii="宋体" w:hAnsi="宋体" w:eastAsia="宋体" w:cs="宋体"/>
          <w:color w:val="000000"/>
          <w:sz w:val="28"/>
          <w:szCs w:val="28"/>
        </w:rPr>
        <w:t>结束后，按照价高者得的原则确定买受人。出价不低于保留价的，拍卖成交。</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本次网络拍卖的竞价时间为</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小时。竞价程序结束前5分钟内无人出价的，最后出价即为拍卖成交价</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有出价的，竞价时间自该出价时点顺延5分钟。竞买人的出价时间以</w:t>
      </w:r>
      <w:r>
        <w:rPr>
          <w:rFonts w:hint="eastAsia" w:ascii="宋体" w:hAnsi="宋体" w:cs="宋体"/>
          <w:color w:val="000000"/>
          <w:sz w:val="28"/>
          <w:szCs w:val="28"/>
          <w:lang w:eastAsia="zh-CN"/>
        </w:rPr>
        <w:t>洪力自助公益拍卖平台</w:t>
      </w:r>
      <w:r>
        <w:rPr>
          <w:rFonts w:hint="eastAsia" w:ascii="宋体" w:hAnsi="宋体" w:eastAsia="宋体" w:cs="宋体"/>
          <w:color w:val="000000"/>
          <w:sz w:val="28"/>
          <w:szCs w:val="28"/>
        </w:rPr>
        <w:t>的时间为准。</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四</w:t>
      </w:r>
      <w:r>
        <w:rPr>
          <w:rFonts w:hint="eastAsia" w:ascii="宋体" w:hAnsi="宋体" w:eastAsia="宋体" w:cs="宋体"/>
          <w:color w:val="000000"/>
          <w:sz w:val="28"/>
          <w:szCs w:val="28"/>
        </w:rPr>
        <w:t>条：关于网络竞价操作及免责提示</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1、网络竞价免责提示</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在网络竞价过程中若因竞买人如下行为产生的一切后果，由竞买人负责并承担相应的法律责任，拍卖人不承担任何责任：</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①竞买人应对其网络竞价账户安全负责，在本人以该账户正式登录进入本场网络竞价会之后，在竞价系统的一切行为均视为该竞买人本人的行为；竞买人应对自己的账户信息保密，每个注册账户仅供一名竞买人使用，因竞买人原因导致其注册账户信息泄露而造成的一切后果，与委托人和拍卖人无关；</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②在网络竞价过程中，竞价时间应以竞价页面上显示的服务器时间为准，由于与竞价系统时间不符而导致竞买人未及时参与竞价的</w:t>
      </w:r>
      <w:r>
        <w:rPr>
          <w:rFonts w:hint="eastAsia" w:ascii="宋体" w:hAnsi="宋体" w:eastAsia="宋体" w:cs="宋体"/>
          <w:color w:val="000000"/>
          <w:sz w:val="28"/>
          <w:szCs w:val="28"/>
          <w:lang w:eastAsia="zh-CN"/>
        </w:rPr>
        <w:t>；</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③在竞价过程中因各种原因误操作，导致报价错误、报价不能发送及系统无响应的；</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④由于竞买人自身终端设备和网络异常等原因导致无法正常竞价的；</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⑤由于竞买人在同一个终端通过多个竞价账户进行竞价而造成系统响应变慢、死机、报价错误等情况。</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2、网络竞价会过程中暂停或暂缓提示</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由于互联网可能出现不稳定情况，因不可抗力、意外事件、软硬件（技术）故障、非法入侵、恶意攻击等原因而导致网络拍卖平台及竞价系统服务器异常（包括但不限于竞价中断、竞价界面无法显示等情况），可先暂停当前竞买人通过竞价系统的即时报价,经本公司与委托人商定后,可临时决定本场网络竞价会暂停或择日重新竞价, 拍卖人将向全体竞买人作出解释说明。</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五</w:t>
      </w:r>
      <w:r>
        <w:rPr>
          <w:rFonts w:hint="eastAsia" w:ascii="宋体" w:hAnsi="宋体" w:eastAsia="宋体" w:cs="宋体"/>
          <w:color w:val="000000"/>
          <w:sz w:val="28"/>
          <w:szCs w:val="28"/>
        </w:rPr>
        <w:t>条：显示规则</w:t>
      </w:r>
    </w:p>
    <w:p>
      <w:pPr>
        <w:pStyle w:val="6"/>
        <w:pageBreakBefore w:val="0"/>
        <w:kinsoku/>
        <w:wordWrap/>
        <w:overflowPunct/>
        <w:topLinePunct w:val="0"/>
        <w:bidi w:val="0"/>
        <w:snapToGrid/>
        <w:spacing w:line="320" w:lineRule="exact"/>
        <w:ind w:firstLine="48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1、竞买人在网络平台上看到的排名为即时出价排名信息。</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2、竞买人页面只显示与自身相关的信息、公共信息等。</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3、竞买人如有疑问可在线向拍卖人提问。</w:t>
      </w:r>
    </w:p>
    <w:p>
      <w:pPr>
        <w:pageBreakBefore w:val="0"/>
        <w:kinsoku/>
        <w:wordWrap/>
        <w:overflowPunct/>
        <w:topLinePunct w:val="0"/>
        <w:bidi w:val="0"/>
        <w:snapToGrid/>
        <w:spacing w:line="320" w:lineRule="exact"/>
        <w:ind w:left="436"/>
        <w:jc w:val="left"/>
        <w:textAlignment w:val="auto"/>
        <w:rPr>
          <w:rFonts w:hint="eastAsia" w:ascii="宋体" w:hAnsi="宋体" w:eastAsia="宋体" w:cs="宋体"/>
          <w:color w:val="000000"/>
          <w:sz w:val="28"/>
          <w:szCs w:val="28"/>
        </w:rPr>
      </w:pP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bookmarkStart w:id="6" w:name="_Toc520378988"/>
      <w:r>
        <w:rPr>
          <w:rFonts w:hint="eastAsia" w:ascii="宋体" w:hAnsi="宋体" w:eastAsia="宋体" w:cs="宋体"/>
          <w:color w:val="000000"/>
          <w:sz w:val="28"/>
          <w:szCs w:val="28"/>
        </w:rPr>
        <w:t>第八章  违约责任</w:t>
      </w:r>
      <w:bookmarkEnd w:id="6"/>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六</w:t>
      </w:r>
      <w:r>
        <w:rPr>
          <w:rFonts w:hint="eastAsia" w:ascii="宋体" w:hAnsi="宋体" w:eastAsia="宋体" w:cs="宋体"/>
          <w:color w:val="000000"/>
          <w:sz w:val="28"/>
          <w:szCs w:val="28"/>
        </w:rPr>
        <w:t>条：买受人的以下行为均认定为违约</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1、买受人在拍卖成交之日起2日内未与拍卖人签署《拍卖成交确认书》的；</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2、买受人签署《拍卖成交确认书》后未按约定付清全部款项的；</w:t>
      </w:r>
    </w:p>
    <w:p>
      <w:pPr>
        <w:pageBreakBefore w:val="0"/>
        <w:kinsoku/>
        <w:wordWrap/>
        <w:overflowPunct/>
        <w:topLinePunct w:val="0"/>
        <w:bidi w:val="0"/>
        <w:snapToGrid/>
        <w:spacing w:line="32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3、买受人未按期办理完</w:t>
      </w:r>
      <w:r>
        <w:rPr>
          <w:rFonts w:hint="eastAsia" w:ascii="宋体" w:hAnsi="宋体" w:cs="宋体"/>
          <w:color w:val="000000"/>
          <w:sz w:val="28"/>
          <w:szCs w:val="28"/>
          <w:lang w:val="en-US" w:eastAsia="zh-CN"/>
        </w:rPr>
        <w:t>标的移交</w:t>
      </w:r>
      <w:r>
        <w:rPr>
          <w:rFonts w:hint="eastAsia" w:ascii="宋体" w:hAnsi="宋体" w:eastAsia="宋体" w:cs="宋体"/>
          <w:color w:val="000000"/>
          <w:sz w:val="28"/>
          <w:szCs w:val="28"/>
        </w:rPr>
        <w:t>的。</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七</w:t>
      </w:r>
      <w:r>
        <w:rPr>
          <w:rFonts w:hint="eastAsia" w:ascii="宋体" w:hAnsi="宋体" w:eastAsia="宋体" w:cs="宋体"/>
          <w:color w:val="000000"/>
          <w:sz w:val="28"/>
          <w:szCs w:val="28"/>
        </w:rPr>
        <w:t>条：买受人违约后，拍卖人有权收回标的，并依法追究买受人的如下违约责任：</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1、竞买保证金不予返还；</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2、支付本次买受人和委托人应当支付的拍卖佣金；</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3、若标的物再次拍卖，再次拍卖的成交价款低于本次拍卖成交价款的，由违约者补足差额；</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4、造成其他损失的，买受人应当赔偿。</w:t>
      </w:r>
    </w:p>
    <w:p>
      <w:pPr>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5、向拍卖人支付违约金30万元。</w:t>
      </w:r>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bookmarkStart w:id="7" w:name="_Toc520378989"/>
    </w:p>
    <w:p>
      <w:pPr>
        <w:pStyle w:val="2"/>
        <w:pageBreakBefore w:val="0"/>
        <w:kinsoku/>
        <w:wordWrap/>
        <w:overflowPunct/>
        <w:topLinePunct w:val="0"/>
        <w:bidi w:val="0"/>
        <w:snapToGrid/>
        <w:spacing w:before="0" w:after="0" w:line="32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第九章  其它约定</w:t>
      </w:r>
      <w:bookmarkEnd w:id="7"/>
    </w:p>
    <w:p>
      <w:pPr>
        <w:keepNext w:val="0"/>
        <w:keepLines w:val="0"/>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八</w:t>
      </w:r>
      <w:r>
        <w:rPr>
          <w:rFonts w:hint="eastAsia" w:ascii="宋体" w:hAnsi="宋体" w:eastAsia="宋体" w:cs="宋体"/>
          <w:color w:val="000000"/>
          <w:sz w:val="28"/>
          <w:szCs w:val="28"/>
        </w:rPr>
        <w:t>条：不可抗力</w:t>
      </w:r>
    </w:p>
    <w:p>
      <w:pPr>
        <w:keepNext w:val="0"/>
        <w:keepLines w:val="0"/>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1、本竞拍须知所称不可抗力，是指地震、台风、水灾、火灾、战争以及其它本竞拍须知各方不能预见，并且对其发生和后果不能防止或不能避免且不可克服的客观情况。</w:t>
      </w:r>
    </w:p>
    <w:p>
      <w:pPr>
        <w:keepNext w:val="0"/>
        <w:keepLines w:val="0"/>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2、本竞拍须知任何一方因不可抗力不能履行或不能完全履行本竞拍须知的义务时，应在不可抗力发生之日起的</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0日内通知对方，并在不可抗力发生之日起的15日内向对方提供由有关部门出具的不可抗力证明。</w:t>
      </w:r>
    </w:p>
    <w:p>
      <w:pPr>
        <w:keepNext w:val="0"/>
        <w:keepLines w:val="0"/>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3、因不可抗力不能履行竞拍须知的，根据不可抗力的影响，受影响方部分或全部免除责任，但法律另有规定的除外。迟延履行竞拍须知后发生不可抗力的，不能免除责任。</w:t>
      </w:r>
    </w:p>
    <w:p>
      <w:pPr>
        <w:keepNext w:val="0"/>
        <w:keepLines w:val="0"/>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4、如果因不可抗力的影响致使本竞拍须知中止履行90日或以上时，双方应通过友好协商方式解决本竞拍须知履行问题，并签订补充协议。如不能协商达成一致的，任一方均有权终止本竞拍须知，并书面通知对方。</w:t>
      </w:r>
    </w:p>
    <w:p>
      <w:pPr>
        <w:keepNext w:val="0"/>
        <w:keepLines w:val="0"/>
        <w:pageBreakBefore w:val="0"/>
        <w:kinsoku/>
        <w:wordWrap/>
        <w:overflowPunct/>
        <w:topLinePunct w:val="0"/>
        <w:autoSpaceDE w:val="0"/>
        <w:autoSpaceDN w:val="0"/>
        <w:bidi w:val="0"/>
        <w:adjustRightInd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w:t>
      </w:r>
      <w:r>
        <w:rPr>
          <w:rFonts w:hint="eastAsia" w:ascii="宋体" w:hAnsi="宋体" w:cs="宋体"/>
          <w:color w:val="000000"/>
          <w:sz w:val="28"/>
          <w:szCs w:val="28"/>
          <w:lang w:eastAsia="zh-CN"/>
        </w:rPr>
        <w:t>九</w:t>
      </w:r>
      <w:r>
        <w:rPr>
          <w:rFonts w:hint="eastAsia" w:ascii="宋体" w:hAnsi="宋体" w:eastAsia="宋体" w:cs="宋体"/>
          <w:color w:val="000000"/>
          <w:sz w:val="28"/>
          <w:szCs w:val="28"/>
        </w:rPr>
        <w:t>条：《拍卖成交确认书》是竞买人成交的书面文件，买受人签署的网络竞拍须知以及在拍卖人处领取的相关资料，均是《拍卖成交确认书》的有效组成部分，买受人拒绝签署《拍卖成交确认书》的，不影响《拍卖成交确认书》和网络竞拍须知所规定买受人的责任与义务。</w:t>
      </w:r>
    </w:p>
    <w:p>
      <w:pPr>
        <w:keepNext w:val="0"/>
        <w:keepLines w:val="0"/>
        <w:pageBreakBefore w:val="0"/>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w:t>
      </w:r>
      <w:r>
        <w:rPr>
          <w:rFonts w:hint="eastAsia" w:ascii="宋体" w:hAnsi="宋体" w:cs="宋体"/>
          <w:color w:val="000000"/>
          <w:sz w:val="28"/>
          <w:szCs w:val="28"/>
          <w:lang w:eastAsia="zh-CN"/>
        </w:rPr>
        <w:t>四十</w:t>
      </w:r>
      <w:r>
        <w:rPr>
          <w:rFonts w:hint="eastAsia" w:ascii="宋体" w:hAnsi="宋体" w:eastAsia="宋体" w:cs="宋体"/>
          <w:color w:val="000000"/>
          <w:sz w:val="28"/>
          <w:szCs w:val="28"/>
        </w:rPr>
        <w:t>条：竞买人在拍卖活动中所签署的所有文件均为有效文件（竞买人认可并同意遵守），都具有同等法律效力，附件如与竞拍须知有冲突，以竞拍须知为准，拍卖人</w:t>
      </w:r>
      <w:r>
        <w:rPr>
          <w:rFonts w:hint="eastAsia" w:ascii="宋体" w:hAnsi="宋体" w:eastAsia="宋体" w:cs="宋体"/>
          <w:color w:val="000000"/>
          <w:sz w:val="28"/>
          <w:szCs w:val="28"/>
          <w:lang w:eastAsia="zh-CN"/>
        </w:rPr>
        <w:t>拥</w:t>
      </w:r>
      <w:r>
        <w:rPr>
          <w:rFonts w:hint="eastAsia" w:ascii="宋体" w:hAnsi="宋体" w:eastAsia="宋体" w:cs="宋体"/>
          <w:color w:val="000000"/>
          <w:sz w:val="28"/>
          <w:szCs w:val="28"/>
        </w:rPr>
        <w:t>有最终解释权。</w:t>
      </w:r>
    </w:p>
    <w:p>
      <w:pPr>
        <w:keepNext w:val="0"/>
        <w:keepLines w:val="0"/>
        <w:pageBreakBefore w:val="0"/>
        <w:widowControl/>
        <w:kinsoku/>
        <w:wordWrap/>
        <w:overflowPunct/>
        <w:topLinePunct w:val="0"/>
        <w:bidi w:val="0"/>
        <w:snapToGrid/>
        <w:spacing w:line="320" w:lineRule="exact"/>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第四十</w:t>
      </w:r>
      <w:r>
        <w:rPr>
          <w:rFonts w:hint="eastAsia" w:ascii="宋体" w:hAnsi="宋体" w:cs="宋体"/>
          <w:color w:val="000000"/>
          <w:sz w:val="28"/>
          <w:szCs w:val="28"/>
          <w:lang w:eastAsia="zh-CN"/>
        </w:rPr>
        <w:t>一</w:t>
      </w:r>
      <w:r>
        <w:rPr>
          <w:rFonts w:hint="eastAsia" w:ascii="宋体" w:hAnsi="宋体" w:eastAsia="宋体" w:cs="宋体"/>
          <w:color w:val="000000"/>
          <w:sz w:val="28"/>
          <w:szCs w:val="28"/>
        </w:rPr>
        <w:t>条：竞买人应充分检查其电脑运行良好。保持Internet网络通信通畅，拍卖人建议竞买人使用IE、360、Chrome(谷歌)等主流浏览器，在拍卖过程中，如因竞买人的网络出现中断或其他异常情况，不得向拍卖人追究责任。</w:t>
      </w:r>
    </w:p>
    <w:p>
      <w:pPr>
        <w:keepNext w:val="0"/>
        <w:keepLines w:val="0"/>
        <w:pageBreakBefore w:val="0"/>
        <w:kinsoku/>
        <w:wordWrap/>
        <w:overflowPunct/>
        <w:topLinePunct w:val="0"/>
        <w:bidi w:val="0"/>
        <w:snapToGrid/>
        <w:spacing w:line="380" w:lineRule="exact"/>
        <w:ind w:firstLine="141" w:firstLineChars="50"/>
        <w:jc w:val="left"/>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 附件：</w:t>
      </w:r>
    </w:p>
    <w:p>
      <w:pPr>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附件一 《授权委托书》</w:t>
      </w:r>
    </w:p>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附件二 《已参加培训的竞买人确认函》</w:t>
      </w:r>
    </w:p>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color w:val="000000"/>
          <w:sz w:val="28"/>
          <w:szCs w:val="28"/>
        </w:rPr>
      </w:pPr>
    </w:p>
    <w:p>
      <w:pPr>
        <w:keepNext w:val="0"/>
        <w:keepLines w:val="0"/>
        <w:pageBreakBefore w:val="0"/>
        <w:kinsoku/>
        <w:wordWrap/>
        <w:overflowPunct/>
        <w:topLinePunct w:val="0"/>
        <w:bidi w:val="0"/>
        <w:snapToGrid/>
        <w:spacing w:line="380" w:lineRule="exact"/>
        <w:ind w:firstLine="562" w:firstLineChars="200"/>
        <w:jc w:val="left"/>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注：与本拍卖活动相关的文档将作为本竞拍须知不可缺失的附件具有同等法律效力,需竞买人本身或其授权代表，逐页小签或加盖骑缝章后与本竞拍须知在报名截止前一起寄至或送至拍卖人。</w:t>
      </w:r>
    </w:p>
    <w:p>
      <w:pPr>
        <w:keepNext w:val="0"/>
        <w:keepLines w:val="0"/>
        <w:pageBreakBefore w:val="0"/>
        <w:kinsoku/>
        <w:wordWrap/>
        <w:overflowPunct/>
        <w:topLinePunct w:val="0"/>
        <w:bidi w:val="0"/>
        <w:snapToGrid/>
        <w:spacing w:line="380" w:lineRule="exact"/>
        <w:ind w:firstLine="562" w:firstLineChars="200"/>
        <w:jc w:val="left"/>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竞买人须抄写如下内容：“本人（单位）已熟知网络竞拍须知以及其他相关资料的全部内容，对本次网络竞拍相关法律主体的权利、义务均已充分了解，本人（单位）愿意遵守以上竞拍须知中载明的各项权利和义务。”（请抄写至下方横线）</w:t>
      </w:r>
    </w:p>
    <w:p>
      <w:pPr>
        <w:keepNext w:val="0"/>
        <w:keepLines w:val="0"/>
        <w:pageBreakBefore w:val="0"/>
        <w:kinsoku/>
        <w:wordWrap/>
        <w:overflowPunct/>
        <w:topLinePunct w:val="0"/>
        <w:bidi w:val="0"/>
        <w:snapToGrid/>
        <w:spacing w:line="380" w:lineRule="exact"/>
        <w:ind w:firstLine="562" w:firstLineChars="200"/>
        <w:jc w:val="left"/>
        <w:textAlignment w:val="auto"/>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28"/>
          <w:u w:val="single"/>
        </w:rPr>
        <w:t xml:space="preserve">                                                                           </w:t>
      </w:r>
    </w:p>
    <w:p>
      <w:pPr>
        <w:keepNext w:val="0"/>
        <w:keepLines w:val="0"/>
        <w:pageBreakBefore w:val="0"/>
        <w:kinsoku/>
        <w:wordWrap/>
        <w:overflowPunct/>
        <w:topLinePunct w:val="0"/>
        <w:bidi w:val="0"/>
        <w:snapToGrid/>
        <w:spacing w:line="380" w:lineRule="exact"/>
        <w:jc w:val="left"/>
        <w:textAlignment w:val="auto"/>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28"/>
          <w:u w:val="single"/>
        </w:rPr>
        <w:t xml:space="preserve">                                                                               </w:t>
      </w:r>
    </w:p>
    <w:p>
      <w:pPr>
        <w:keepNext w:val="0"/>
        <w:keepLines w:val="0"/>
        <w:pageBreakBefore w:val="0"/>
        <w:kinsoku/>
        <w:wordWrap/>
        <w:overflowPunct/>
        <w:topLinePunct w:val="0"/>
        <w:bidi w:val="0"/>
        <w:snapToGrid/>
        <w:spacing w:line="380" w:lineRule="exact"/>
        <w:jc w:val="left"/>
        <w:textAlignment w:val="auto"/>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28"/>
          <w:u w:val="single"/>
        </w:rPr>
        <w:t xml:space="preserve">                                                                               </w:t>
      </w:r>
    </w:p>
    <w:p>
      <w:pPr>
        <w:keepNext w:val="0"/>
        <w:keepLines w:val="0"/>
        <w:pageBreakBefore w:val="0"/>
        <w:kinsoku/>
        <w:wordWrap/>
        <w:overflowPunct/>
        <w:topLinePunct w:val="0"/>
        <w:bidi w:val="0"/>
        <w:snapToGrid/>
        <w:spacing w:line="380" w:lineRule="exact"/>
        <w:jc w:val="left"/>
        <w:textAlignment w:val="auto"/>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28"/>
          <w:u w:val="single"/>
        </w:rPr>
        <w:t xml:space="preserve">                                                                               </w:t>
      </w:r>
    </w:p>
    <w:p>
      <w:pPr>
        <w:keepNext w:val="0"/>
        <w:keepLines w:val="0"/>
        <w:pageBreakBefore w:val="0"/>
        <w:kinsoku/>
        <w:wordWrap/>
        <w:overflowPunct/>
        <w:topLinePunct w:val="0"/>
        <w:bidi w:val="0"/>
        <w:snapToGrid/>
        <w:spacing w:line="380" w:lineRule="exact"/>
        <w:ind w:firstLine="560" w:firstLineChars="200"/>
        <w:jc w:val="righ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竞买人（签字或盖章）：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法人代表或授权代表：</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500"/>
        <w:jc w:val="both"/>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日    期：</w:t>
      </w:r>
      <w:r>
        <w:rPr>
          <w:rFonts w:hint="eastAsia" w:ascii="宋体" w:hAnsi="宋体" w:eastAsia="宋体" w:cs="宋体"/>
          <w:color w:val="000000"/>
          <w:sz w:val="28"/>
          <w:szCs w:val="28"/>
          <w:lang w:val="en-US" w:eastAsia="zh-CN"/>
        </w:rPr>
        <w:t xml:space="preserve">   年  月  日</w:t>
      </w:r>
    </w:p>
    <w:p>
      <w:pPr>
        <w:rPr>
          <w:rFonts w:hint="eastAsia" w:ascii="宋体" w:hAnsi="宋体" w:eastAsia="宋体" w:cs="宋体"/>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微软雅黑" w:hAnsi="微软雅黑" w:eastAsia="微软雅黑" w:cs="微软雅黑"/>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微软雅黑" w:hAnsi="微软雅黑" w:eastAsia="微软雅黑" w:cs="微软雅黑"/>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420"/>
        <w:jc w:val="center"/>
        <w:textAlignment w:val="auto"/>
        <w:rPr>
          <w:rFonts w:hint="eastAsia" w:ascii="微软雅黑" w:hAnsi="微软雅黑" w:eastAsia="微软雅黑" w:cs="微软雅黑"/>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420"/>
        <w:jc w:val="center"/>
        <w:textAlignment w:val="auto"/>
        <w:rPr>
          <w:rFonts w:hint="eastAsia" w:ascii="微软雅黑" w:hAnsi="微软雅黑" w:eastAsia="微软雅黑" w:cs="微软雅黑"/>
          <w:b/>
          <w:bCs/>
          <w:color w:val="000000"/>
          <w:sz w:val="44"/>
          <w:szCs w:val="44"/>
          <w:lang w:eastAsia="zh-CN"/>
        </w:rPr>
      </w:pPr>
      <w:bookmarkStart w:id="8" w:name="_GoBack"/>
      <w:bookmarkEnd w:id="8"/>
      <w:r>
        <w:rPr>
          <w:rFonts w:hint="eastAsia" w:ascii="微软雅黑" w:hAnsi="微软雅黑" w:eastAsia="微软雅黑" w:cs="微软雅黑"/>
          <w:b/>
          <w:bCs/>
          <w:color w:val="000000"/>
          <w:sz w:val="44"/>
          <w:szCs w:val="44"/>
        </w:rPr>
        <w:t>授权委托书</w:t>
      </w:r>
      <w:r>
        <w:rPr>
          <w:rFonts w:hint="eastAsia" w:ascii="微软雅黑" w:hAnsi="微软雅黑" w:eastAsia="微软雅黑" w:cs="微软雅黑"/>
          <w:b/>
          <w:bCs/>
          <w:color w:val="000000"/>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600" w:lineRule="exact"/>
        <w:ind w:firstLine="420"/>
        <w:jc w:val="center"/>
        <w:textAlignment w:val="auto"/>
        <w:rPr>
          <w:rFonts w:hint="eastAsia" w:ascii="微软雅黑" w:hAnsi="微软雅黑" w:eastAsia="微软雅黑" w:cs="微软雅黑"/>
          <w:b/>
          <w:bCs/>
          <w:color w:val="000000"/>
          <w:sz w:val="44"/>
          <w:szCs w:val="44"/>
          <w:lang w:eastAsia="zh-CN"/>
        </w:rPr>
      </w:pPr>
    </w:p>
    <w:tbl>
      <w:tblPr>
        <w:tblStyle w:val="3"/>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732"/>
        <w:gridCol w:w="782"/>
        <w:gridCol w:w="2834"/>
        <w:gridCol w:w="135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54" w:type="dxa"/>
            <w:gridSpan w:val="4"/>
            <w:vAlign w:val="center"/>
          </w:tcPr>
          <w:p>
            <w:pPr>
              <w:jc w:val="center"/>
              <w:rPr>
                <w:rFonts w:ascii="宋体" w:hAnsi="宋体" w:eastAsia="宋体"/>
                <w:sz w:val="24"/>
                <w:szCs w:val="24"/>
              </w:rPr>
            </w:pPr>
            <w:r>
              <w:rPr>
                <w:rFonts w:hint="eastAsia" w:ascii="宋体" w:hAnsi="宋体"/>
                <w:b/>
                <w:bCs/>
                <w:sz w:val="30"/>
                <w:szCs w:val="30"/>
              </w:rPr>
              <w:t>委   托   人</w:t>
            </w:r>
          </w:p>
        </w:tc>
        <w:tc>
          <w:tcPr>
            <w:tcW w:w="4425" w:type="dxa"/>
            <w:gridSpan w:val="2"/>
            <w:vAlign w:val="center"/>
          </w:tcPr>
          <w:p>
            <w:pPr>
              <w:jc w:val="center"/>
              <w:rPr>
                <w:rFonts w:ascii="宋体" w:hAnsi="宋体" w:eastAsia="宋体"/>
                <w:sz w:val="24"/>
                <w:szCs w:val="24"/>
              </w:rPr>
            </w:pPr>
            <w:r>
              <w:rPr>
                <w:rFonts w:hint="eastAsia" w:ascii="宋体" w:hAnsi="宋体"/>
                <w:b/>
                <w:bCs/>
                <w:sz w:val="30"/>
                <w:szCs w:val="30"/>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20" w:type="dxa"/>
            <w:gridSpan w:val="3"/>
            <w:vAlign w:val="center"/>
          </w:tcPr>
          <w:p>
            <w:pPr>
              <w:spacing w:line="400" w:lineRule="exact"/>
              <w:jc w:val="center"/>
              <w:rPr>
                <w:rFonts w:ascii="宋体" w:hAnsi="宋体" w:eastAsia="宋体"/>
                <w:sz w:val="24"/>
                <w:szCs w:val="24"/>
              </w:rPr>
            </w:pPr>
            <w:r>
              <w:rPr>
                <w:rFonts w:hint="eastAsia" w:ascii="宋体" w:hAnsi="宋体"/>
                <w:bCs/>
                <w:sz w:val="30"/>
                <w:szCs w:val="30"/>
              </w:rPr>
              <w:t>姓名</w:t>
            </w:r>
          </w:p>
        </w:tc>
        <w:tc>
          <w:tcPr>
            <w:tcW w:w="2834" w:type="dxa"/>
            <w:vAlign w:val="center"/>
          </w:tcPr>
          <w:p>
            <w:pPr>
              <w:spacing w:line="400" w:lineRule="exact"/>
              <w:jc w:val="center"/>
              <w:rPr>
                <w:rFonts w:ascii="宋体" w:hAnsi="宋体" w:eastAsia="宋体"/>
                <w:sz w:val="24"/>
                <w:szCs w:val="24"/>
              </w:rPr>
            </w:pPr>
          </w:p>
        </w:tc>
        <w:tc>
          <w:tcPr>
            <w:tcW w:w="1350" w:type="dxa"/>
            <w:vAlign w:val="center"/>
          </w:tcPr>
          <w:p>
            <w:pPr>
              <w:spacing w:line="400" w:lineRule="exact"/>
              <w:ind w:right="-290" w:rightChars="-138" w:firstLine="300" w:firstLineChars="100"/>
              <w:rPr>
                <w:rFonts w:ascii="宋体" w:hAnsi="宋体" w:eastAsia="宋体"/>
                <w:sz w:val="24"/>
                <w:szCs w:val="24"/>
              </w:rPr>
            </w:pPr>
            <w:r>
              <w:rPr>
                <w:rFonts w:hint="eastAsia" w:ascii="宋体" w:hAnsi="宋体"/>
                <w:bCs/>
                <w:sz w:val="30"/>
                <w:szCs w:val="30"/>
              </w:rPr>
              <w:t>姓名</w:t>
            </w:r>
          </w:p>
        </w:tc>
        <w:tc>
          <w:tcPr>
            <w:tcW w:w="3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20" w:type="dxa"/>
            <w:gridSpan w:val="3"/>
            <w:vAlign w:val="center"/>
          </w:tcPr>
          <w:p>
            <w:pPr>
              <w:spacing w:line="400" w:lineRule="exact"/>
              <w:jc w:val="center"/>
              <w:rPr>
                <w:rFonts w:ascii="宋体" w:hAnsi="宋体" w:eastAsia="宋体"/>
                <w:sz w:val="24"/>
                <w:szCs w:val="24"/>
              </w:rPr>
            </w:pPr>
            <w:r>
              <w:rPr>
                <w:rFonts w:hint="eastAsia" w:ascii="宋体" w:hAnsi="宋体"/>
                <w:bCs/>
                <w:sz w:val="30"/>
                <w:szCs w:val="30"/>
              </w:rPr>
              <w:t>性别</w:t>
            </w:r>
          </w:p>
        </w:tc>
        <w:tc>
          <w:tcPr>
            <w:tcW w:w="2834" w:type="dxa"/>
            <w:vAlign w:val="center"/>
          </w:tcPr>
          <w:p>
            <w:pPr>
              <w:spacing w:line="400" w:lineRule="exact"/>
              <w:jc w:val="center"/>
              <w:rPr>
                <w:rFonts w:ascii="宋体" w:hAnsi="宋体" w:eastAsia="宋体"/>
                <w:sz w:val="24"/>
                <w:szCs w:val="24"/>
              </w:rPr>
            </w:pPr>
          </w:p>
        </w:tc>
        <w:tc>
          <w:tcPr>
            <w:tcW w:w="1350" w:type="dxa"/>
            <w:vAlign w:val="center"/>
          </w:tcPr>
          <w:p>
            <w:pPr>
              <w:spacing w:line="400" w:lineRule="exact"/>
              <w:jc w:val="center"/>
              <w:rPr>
                <w:rFonts w:ascii="宋体" w:hAnsi="宋体" w:eastAsia="宋体"/>
                <w:sz w:val="24"/>
                <w:szCs w:val="24"/>
              </w:rPr>
            </w:pPr>
            <w:r>
              <w:rPr>
                <w:rFonts w:hint="eastAsia" w:ascii="宋体" w:hAnsi="宋体"/>
                <w:bCs/>
                <w:sz w:val="30"/>
                <w:szCs w:val="30"/>
              </w:rPr>
              <w:t>性别</w:t>
            </w:r>
          </w:p>
        </w:tc>
        <w:tc>
          <w:tcPr>
            <w:tcW w:w="3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20" w:type="dxa"/>
            <w:gridSpan w:val="3"/>
            <w:vAlign w:val="center"/>
          </w:tcPr>
          <w:p>
            <w:pPr>
              <w:spacing w:line="400" w:lineRule="exact"/>
              <w:jc w:val="center"/>
              <w:rPr>
                <w:rFonts w:ascii="宋体" w:hAnsi="宋体" w:eastAsia="宋体"/>
                <w:sz w:val="24"/>
                <w:szCs w:val="24"/>
              </w:rPr>
            </w:pPr>
            <w:r>
              <w:rPr>
                <w:rFonts w:hint="eastAsia" w:ascii="宋体" w:hAnsi="宋体"/>
                <w:bCs/>
                <w:sz w:val="30"/>
                <w:szCs w:val="30"/>
              </w:rPr>
              <w:t>单位</w:t>
            </w:r>
          </w:p>
        </w:tc>
        <w:tc>
          <w:tcPr>
            <w:tcW w:w="2834" w:type="dxa"/>
            <w:vAlign w:val="center"/>
          </w:tcPr>
          <w:p>
            <w:pPr>
              <w:spacing w:line="400" w:lineRule="exact"/>
              <w:jc w:val="center"/>
              <w:rPr>
                <w:rFonts w:ascii="宋体" w:hAnsi="宋体" w:eastAsia="宋体"/>
                <w:sz w:val="24"/>
                <w:szCs w:val="24"/>
              </w:rPr>
            </w:pPr>
          </w:p>
        </w:tc>
        <w:tc>
          <w:tcPr>
            <w:tcW w:w="1350" w:type="dxa"/>
            <w:vAlign w:val="center"/>
          </w:tcPr>
          <w:p>
            <w:pPr>
              <w:spacing w:line="400" w:lineRule="exact"/>
              <w:jc w:val="center"/>
              <w:rPr>
                <w:rFonts w:ascii="宋体" w:hAnsi="宋体" w:eastAsia="宋体"/>
                <w:sz w:val="24"/>
                <w:szCs w:val="24"/>
              </w:rPr>
            </w:pPr>
            <w:r>
              <w:rPr>
                <w:rFonts w:hint="eastAsia" w:ascii="宋体" w:hAnsi="宋体"/>
                <w:bCs/>
                <w:sz w:val="30"/>
                <w:szCs w:val="30"/>
              </w:rPr>
              <w:t>单位</w:t>
            </w:r>
          </w:p>
        </w:tc>
        <w:tc>
          <w:tcPr>
            <w:tcW w:w="3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20" w:type="dxa"/>
            <w:gridSpan w:val="3"/>
            <w:vAlign w:val="center"/>
          </w:tcPr>
          <w:p>
            <w:pPr>
              <w:spacing w:line="400" w:lineRule="exact"/>
              <w:jc w:val="center"/>
              <w:rPr>
                <w:rFonts w:ascii="宋体" w:hAnsi="宋体" w:eastAsia="宋体"/>
                <w:sz w:val="24"/>
                <w:szCs w:val="24"/>
              </w:rPr>
            </w:pPr>
            <w:r>
              <w:rPr>
                <w:rFonts w:hint="eastAsia" w:ascii="宋体" w:hAnsi="宋体"/>
                <w:bCs/>
                <w:sz w:val="30"/>
                <w:szCs w:val="30"/>
              </w:rPr>
              <w:t>职务</w:t>
            </w:r>
          </w:p>
        </w:tc>
        <w:tc>
          <w:tcPr>
            <w:tcW w:w="2834" w:type="dxa"/>
            <w:vAlign w:val="center"/>
          </w:tcPr>
          <w:p>
            <w:pPr>
              <w:spacing w:line="400" w:lineRule="exact"/>
              <w:jc w:val="center"/>
              <w:rPr>
                <w:rFonts w:ascii="宋体" w:hAnsi="宋体" w:eastAsia="宋体"/>
                <w:spacing w:val="-20"/>
                <w:sz w:val="24"/>
                <w:szCs w:val="24"/>
              </w:rPr>
            </w:pPr>
          </w:p>
        </w:tc>
        <w:tc>
          <w:tcPr>
            <w:tcW w:w="1350" w:type="dxa"/>
            <w:vAlign w:val="center"/>
          </w:tcPr>
          <w:p>
            <w:pPr>
              <w:spacing w:line="400" w:lineRule="exact"/>
              <w:jc w:val="center"/>
              <w:rPr>
                <w:rFonts w:ascii="宋体" w:hAnsi="宋体" w:eastAsia="宋体"/>
                <w:sz w:val="24"/>
                <w:szCs w:val="24"/>
              </w:rPr>
            </w:pPr>
            <w:r>
              <w:rPr>
                <w:rFonts w:hint="eastAsia" w:ascii="宋体" w:hAnsi="宋体"/>
                <w:bCs/>
                <w:sz w:val="30"/>
                <w:szCs w:val="30"/>
              </w:rPr>
              <w:t>职务</w:t>
            </w:r>
          </w:p>
        </w:tc>
        <w:tc>
          <w:tcPr>
            <w:tcW w:w="3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20" w:type="dxa"/>
            <w:gridSpan w:val="3"/>
            <w:vAlign w:val="center"/>
          </w:tcPr>
          <w:p>
            <w:pPr>
              <w:spacing w:line="400" w:lineRule="exact"/>
              <w:jc w:val="center"/>
              <w:rPr>
                <w:rFonts w:ascii="宋体" w:hAnsi="宋体" w:eastAsia="宋体"/>
                <w:sz w:val="24"/>
                <w:szCs w:val="24"/>
              </w:rPr>
            </w:pPr>
            <w:r>
              <w:rPr>
                <w:rFonts w:hint="eastAsia" w:ascii="宋体" w:hAnsi="宋体"/>
                <w:bCs/>
                <w:sz w:val="30"/>
                <w:szCs w:val="30"/>
              </w:rPr>
              <w:t>身份证</w:t>
            </w:r>
          </w:p>
        </w:tc>
        <w:tc>
          <w:tcPr>
            <w:tcW w:w="2834" w:type="dxa"/>
            <w:vAlign w:val="center"/>
          </w:tcPr>
          <w:p>
            <w:pPr>
              <w:spacing w:line="400" w:lineRule="exact"/>
              <w:jc w:val="center"/>
              <w:rPr>
                <w:rFonts w:ascii="宋体" w:hAnsi="宋体" w:eastAsia="宋体"/>
                <w:sz w:val="24"/>
                <w:szCs w:val="24"/>
              </w:rPr>
            </w:pPr>
          </w:p>
        </w:tc>
        <w:tc>
          <w:tcPr>
            <w:tcW w:w="1350" w:type="dxa"/>
            <w:vAlign w:val="center"/>
          </w:tcPr>
          <w:p>
            <w:pPr>
              <w:spacing w:line="400" w:lineRule="exact"/>
              <w:jc w:val="center"/>
              <w:rPr>
                <w:rFonts w:ascii="宋体" w:hAnsi="宋体" w:eastAsia="宋体"/>
                <w:sz w:val="24"/>
                <w:szCs w:val="24"/>
              </w:rPr>
            </w:pPr>
            <w:r>
              <w:rPr>
                <w:rFonts w:hint="eastAsia" w:ascii="宋体" w:hAnsi="宋体"/>
                <w:bCs/>
                <w:sz w:val="30"/>
                <w:szCs w:val="30"/>
              </w:rPr>
              <w:t>身份证</w:t>
            </w:r>
          </w:p>
        </w:tc>
        <w:tc>
          <w:tcPr>
            <w:tcW w:w="3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7" w:hRule="atLeast"/>
          <w:jc w:val="center"/>
        </w:trPr>
        <w:tc>
          <w:tcPr>
            <w:tcW w:w="8779" w:type="dxa"/>
            <w:gridSpan w:val="6"/>
          </w:tcPr>
          <w:p>
            <w:pPr>
              <w:topLinePunct/>
              <w:snapToGrid w:val="0"/>
              <w:spacing w:line="420" w:lineRule="exact"/>
              <w:ind w:firstLine="480" w:firstLineChars="200"/>
              <w:rPr>
                <w:rFonts w:ascii="宋体" w:hAnsi="宋体" w:eastAsia="宋体"/>
                <w:sz w:val="24"/>
                <w:szCs w:val="24"/>
              </w:rPr>
            </w:pPr>
          </w:p>
          <w:p>
            <w:pPr>
              <w:topLinePunct/>
              <w:snapToGrid w:val="0"/>
              <w:spacing w:line="420" w:lineRule="exact"/>
              <w:ind w:firstLine="480" w:firstLineChars="200"/>
              <w:rPr>
                <w:rFonts w:ascii="宋体" w:hAnsi="宋体" w:eastAsia="宋体"/>
                <w:sz w:val="24"/>
                <w:szCs w:val="24"/>
              </w:rPr>
            </w:pPr>
            <w:r>
              <w:rPr>
                <w:rFonts w:hint="eastAsia" w:ascii="宋体" w:hAnsi="宋体" w:eastAsia="宋体" w:cs="宋体"/>
                <w:sz w:val="24"/>
                <w:szCs w:val="24"/>
              </w:rPr>
              <w:t>本人</w:t>
            </w:r>
            <w:r>
              <w:rPr>
                <w:rFonts w:ascii="宋体" w:hAnsi="宋体" w:eastAsia="宋体" w:cs="宋体"/>
                <w:sz w:val="24"/>
                <w:szCs w:val="24"/>
                <w:u w:val="single"/>
              </w:rPr>
              <w:t xml:space="preserve">       </w:t>
            </w:r>
            <w:r>
              <w:rPr>
                <w:rFonts w:hint="eastAsia" w:ascii="宋体" w:hAnsi="宋体" w:eastAsia="宋体" w:cs="宋体"/>
                <w:sz w:val="24"/>
                <w:szCs w:val="24"/>
              </w:rPr>
              <w:t>（委托人）授权</w:t>
            </w:r>
            <w:r>
              <w:rPr>
                <w:rFonts w:ascii="宋体" w:hAnsi="宋体" w:eastAsia="宋体" w:cs="宋体"/>
                <w:sz w:val="24"/>
                <w:szCs w:val="24"/>
                <w:u w:val="single"/>
              </w:rPr>
              <w:t xml:space="preserve">        </w:t>
            </w:r>
            <w:r>
              <w:rPr>
                <w:rFonts w:hint="eastAsia" w:ascii="宋体" w:hAnsi="宋体" w:eastAsia="宋体" w:cs="宋体"/>
                <w:sz w:val="24"/>
                <w:szCs w:val="24"/>
              </w:rPr>
              <w:t>（受托人）代表本人（单位）参加于</w:t>
            </w:r>
            <w:r>
              <w:rPr>
                <w:rFonts w:hint="eastAsia" w:ascii="宋体" w:hAnsi="宋体" w:cs="宋体"/>
                <w:sz w:val="24"/>
                <w:szCs w:val="24"/>
                <w:lang w:eastAsia="zh-CN"/>
              </w:rPr>
              <w:t>2021年6月11日9时至10时</w:t>
            </w:r>
            <w:r>
              <w:rPr>
                <w:rFonts w:hint="eastAsia" w:ascii="宋体" w:hAnsi="宋体" w:eastAsia="宋体" w:cs="宋体"/>
                <w:sz w:val="24"/>
                <w:szCs w:val="24"/>
              </w:rPr>
              <w:t>在</w:t>
            </w:r>
            <w:r>
              <w:rPr>
                <w:rFonts w:hint="eastAsia" w:ascii="宋体" w:hAnsi="宋体" w:cs="宋体"/>
                <w:sz w:val="24"/>
                <w:szCs w:val="24"/>
                <w:lang w:eastAsia="zh-CN"/>
              </w:rPr>
              <w:t>洪力自助公益拍卖平台</w:t>
            </w:r>
            <w:r>
              <w:rPr>
                <w:rFonts w:hint="eastAsia" w:ascii="宋体" w:hAnsi="宋体" w:eastAsia="宋体" w:cs="宋体"/>
                <w:sz w:val="24"/>
                <w:szCs w:val="24"/>
              </w:rPr>
              <w:t>拍卖的</w:t>
            </w:r>
            <w:r>
              <w:rPr>
                <w:rFonts w:hint="eastAsia" w:ascii="宋体" w:hAnsi="宋体" w:cs="宋体"/>
                <w:sz w:val="24"/>
                <w:szCs w:val="24"/>
                <w:u w:val="single"/>
                <w:lang w:eastAsia="zh-CN"/>
              </w:rPr>
              <w:t>汪聪收购、销售没有合法来源凭证的河道砂石</w:t>
            </w:r>
            <w:r>
              <w:rPr>
                <w:rFonts w:hint="eastAsia" w:ascii="宋体" w:hAnsi="宋体" w:eastAsia="宋体" w:cs="宋体"/>
                <w:sz w:val="24"/>
                <w:szCs w:val="24"/>
              </w:rPr>
              <w:t>拍卖会，代表本人（单位）交纳竞买保证金、办理报名登记手续、网络竞价、交纳拍卖成交价款等手续。</w:t>
            </w:r>
          </w:p>
          <w:p>
            <w:pPr>
              <w:topLinePunct/>
              <w:snapToGrid w:val="0"/>
              <w:spacing w:line="420" w:lineRule="exact"/>
              <w:ind w:firstLine="480" w:firstLineChars="200"/>
              <w:rPr>
                <w:rFonts w:ascii="宋体" w:hAnsi="宋体" w:eastAsia="宋体"/>
                <w:color w:val="000000"/>
                <w:sz w:val="24"/>
                <w:szCs w:val="24"/>
              </w:rPr>
            </w:pPr>
            <w:r>
              <w:rPr>
                <w:rFonts w:hint="eastAsia" w:ascii="宋体" w:hAnsi="宋体" w:eastAsia="宋体" w:cs="宋体"/>
                <w:color w:val="000000"/>
                <w:sz w:val="24"/>
                <w:szCs w:val="24"/>
              </w:rPr>
              <w:t>委托期限：</w:t>
            </w:r>
            <w:r>
              <w:rPr>
                <w:rFonts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20" w:lineRule="exact"/>
              <w:ind w:firstLine="480" w:firstLineChars="200"/>
              <w:rPr>
                <w:rFonts w:ascii="宋体" w:hAnsi="宋体" w:eastAsia="宋体"/>
                <w:sz w:val="24"/>
                <w:szCs w:val="24"/>
              </w:rPr>
            </w:pPr>
            <w:r>
              <w:rPr>
                <w:rFonts w:hint="eastAsia" w:ascii="宋体" w:hAnsi="宋体" w:eastAsia="宋体" w:cs="宋体"/>
                <w:color w:val="000000"/>
                <w:sz w:val="24"/>
                <w:szCs w:val="24"/>
              </w:rPr>
              <w:t>受托人无转委托权。</w:t>
            </w:r>
          </w:p>
          <w:p>
            <w:pPr>
              <w:spacing w:line="420" w:lineRule="exact"/>
              <w:ind w:firstLine="480" w:firstLineChars="200"/>
              <w:rPr>
                <w:rFonts w:ascii="宋体" w:hAnsi="宋体" w:eastAsia="宋体"/>
                <w:sz w:val="24"/>
                <w:szCs w:val="24"/>
              </w:rPr>
            </w:pPr>
          </w:p>
          <w:p>
            <w:pPr>
              <w:spacing w:line="420" w:lineRule="exact"/>
              <w:jc w:val="center"/>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委托人（签名）：</w:t>
            </w:r>
            <w:r>
              <w:rPr>
                <w:rFonts w:hint="eastAsia" w:ascii="宋体" w:hAnsi="宋体" w:cs="宋体"/>
                <w:sz w:val="24"/>
                <w:szCs w:val="24"/>
                <w:u w:val="single"/>
                <w:lang w:val="en-US" w:eastAsia="zh-CN"/>
              </w:rPr>
              <w:t xml:space="preserve">               </w:t>
            </w:r>
            <w:r>
              <w:rPr>
                <w:rFonts w:ascii="宋体" w:hAnsi="宋体" w:eastAsia="宋体" w:cs="宋体"/>
                <w:sz w:val="24"/>
                <w:szCs w:val="24"/>
              </w:rPr>
              <w:t xml:space="preserve">  </w:t>
            </w:r>
          </w:p>
          <w:p>
            <w:pPr>
              <w:spacing w:line="420" w:lineRule="exact"/>
              <w:jc w:val="center"/>
              <w:rPr>
                <w:rFonts w:ascii="宋体" w:hAnsi="宋体" w:eastAsia="宋体" w:cs="宋体"/>
                <w:sz w:val="24"/>
                <w:szCs w:val="24"/>
              </w:rPr>
            </w:pPr>
            <w:r>
              <w:rPr>
                <w:rFonts w:ascii="宋体" w:hAnsi="宋体" w:eastAsia="宋体" w:cs="宋体"/>
                <w:sz w:val="24"/>
                <w:szCs w:val="24"/>
              </w:rPr>
              <w:t xml:space="preserve">             </w:t>
            </w:r>
          </w:p>
          <w:p>
            <w:pPr>
              <w:spacing w:line="420" w:lineRule="exact"/>
              <w:jc w:val="center"/>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受托人（签名）：</w:t>
            </w:r>
            <w:r>
              <w:rPr>
                <w:rFonts w:hint="eastAsia" w:ascii="宋体" w:hAnsi="宋体" w:cs="宋体"/>
                <w:sz w:val="24"/>
                <w:szCs w:val="24"/>
                <w:u w:val="single"/>
                <w:lang w:val="en-US" w:eastAsia="zh-CN"/>
              </w:rPr>
              <w:t xml:space="preserve">               </w:t>
            </w:r>
            <w:r>
              <w:rPr>
                <w:rFonts w:ascii="宋体" w:hAnsi="宋体" w:eastAsia="宋体" w:cs="宋体"/>
                <w:sz w:val="24"/>
                <w:szCs w:val="24"/>
              </w:rPr>
              <w:t xml:space="preserve">  </w:t>
            </w:r>
            <w:r>
              <w:rPr>
                <w:rFonts w:hint="eastAsia" w:ascii="宋体" w:hAnsi="宋体" w:cs="宋体"/>
                <w:sz w:val="24"/>
                <w:szCs w:val="24"/>
                <w:lang w:val="en-US" w:eastAsia="zh-CN"/>
              </w:rPr>
              <w:t xml:space="preserve">   </w:t>
            </w:r>
            <w:r>
              <w:rPr>
                <w:rFonts w:ascii="宋体" w:hAnsi="宋体" w:eastAsia="宋体" w:cs="宋体"/>
                <w:sz w:val="24"/>
                <w:szCs w:val="24"/>
              </w:rPr>
              <w:t xml:space="preserve">   </w:t>
            </w:r>
          </w:p>
          <w:p>
            <w:pPr>
              <w:spacing w:line="420" w:lineRule="exact"/>
              <w:jc w:val="center"/>
              <w:rPr>
                <w:rFonts w:ascii="宋体" w:hAnsi="宋体" w:eastAsia="宋体" w:cs="宋体"/>
                <w:sz w:val="24"/>
                <w:szCs w:val="24"/>
              </w:rPr>
            </w:pPr>
            <w:r>
              <w:rPr>
                <w:rFonts w:ascii="宋体" w:hAnsi="宋体" w:eastAsia="宋体" w:cs="宋体"/>
                <w:sz w:val="24"/>
                <w:szCs w:val="24"/>
              </w:rPr>
              <w:t xml:space="preserve">            </w:t>
            </w:r>
          </w:p>
          <w:p>
            <w:pPr>
              <w:spacing w:line="420" w:lineRule="exact"/>
              <w:jc w:val="center"/>
              <w:rPr>
                <w:rFonts w:ascii="宋体" w:hAnsi="宋体" w:eastAsia="宋体"/>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987" w:hRule="atLeast"/>
          <w:jc w:val="center"/>
        </w:trPr>
        <w:tc>
          <w:tcPr>
            <w:tcW w:w="732" w:type="dxa"/>
            <w:vAlign w:val="center"/>
          </w:tcPr>
          <w:p>
            <w:pPr>
              <w:spacing w:line="420" w:lineRule="exact"/>
              <w:jc w:val="center"/>
              <w:rPr>
                <w:rFonts w:ascii="宋体" w:hAnsi="宋体" w:eastAsia="宋体"/>
                <w:sz w:val="24"/>
                <w:szCs w:val="24"/>
              </w:rPr>
            </w:pPr>
            <w:r>
              <w:rPr>
                <w:rFonts w:hint="eastAsia" w:ascii="宋体" w:hAnsi="宋体" w:eastAsia="宋体" w:cs="宋体"/>
                <w:sz w:val="24"/>
                <w:szCs w:val="24"/>
              </w:rPr>
              <w:t>备</w:t>
            </w:r>
          </w:p>
          <w:p>
            <w:pPr>
              <w:spacing w:line="420" w:lineRule="exact"/>
              <w:jc w:val="center"/>
              <w:rPr>
                <w:rFonts w:ascii="宋体" w:hAnsi="宋体" w:eastAsia="宋体"/>
                <w:sz w:val="24"/>
                <w:szCs w:val="24"/>
              </w:rPr>
            </w:pPr>
          </w:p>
          <w:p>
            <w:pPr>
              <w:spacing w:line="420" w:lineRule="exact"/>
              <w:jc w:val="center"/>
              <w:rPr>
                <w:rFonts w:ascii="宋体" w:hAnsi="宋体" w:eastAsia="宋体"/>
                <w:sz w:val="24"/>
                <w:szCs w:val="24"/>
              </w:rPr>
            </w:pPr>
            <w:r>
              <w:rPr>
                <w:rFonts w:hint="eastAsia" w:ascii="宋体" w:hAnsi="宋体" w:eastAsia="宋体" w:cs="宋体"/>
                <w:sz w:val="24"/>
                <w:szCs w:val="24"/>
              </w:rPr>
              <w:t>注</w:t>
            </w:r>
          </w:p>
        </w:tc>
        <w:tc>
          <w:tcPr>
            <w:tcW w:w="8041" w:type="dxa"/>
            <w:gridSpan w:val="4"/>
          </w:tcPr>
          <w:p>
            <w:pPr>
              <w:spacing w:line="420" w:lineRule="exact"/>
              <w:ind w:left="141" w:leftChars="67" w:firstLine="360" w:firstLineChars="150"/>
              <w:rPr>
                <w:rFonts w:ascii="宋体" w:hAnsi="宋体" w:eastAsia="宋体"/>
                <w:sz w:val="24"/>
                <w:szCs w:val="24"/>
                <w:u w:val="single"/>
              </w:rPr>
            </w:pPr>
            <w:r>
              <w:rPr>
                <w:rFonts w:hint="eastAsia" w:ascii="宋体" w:hAnsi="宋体" w:eastAsia="宋体" w:cs="宋体"/>
                <w:sz w:val="24"/>
                <w:szCs w:val="24"/>
              </w:rPr>
              <w:t>兹证明本委托书确系本单位法定代表人</w:t>
            </w:r>
            <w:r>
              <w:rPr>
                <w:rFonts w:ascii="宋体" w:hAnsi="宋体" w:eastAsia="宋体" w:cs="宋体"/>
                <w:sz w:val="24"/>
                <w:szCs w:val="24"/>
                <w:u w:val="single"/>
              </w:rPr>
              <w:t xml:space="preserve">       </w:t>
            </w:r>
            <w:r>
              <w:rPr>
                <w:rFonts w:hint="eastAsia" w:ascii="宋体" w:hAnsi="宋体" w:eastAsia="宋体" w:cs="宋体"/>
                <w:sz w:val="24"/>
                <w:szCs w:val="24"/>
              </w:rPr>
              <w:t>亲自签署，对本单位具有法律约力。</w:t>
            </w:r>
            <w:r>
              <w:rPr>
                <w:rFonts w:ascii="宋体" w:hAnsi="宋体" w:eastAsia="宋体" w:cs="宋体"/>
                <w:sz w:val="24"/>
                <w:szCs w:val="24"/>
              </w:rPr>
              <w:t xml:space="preserve">     </w:t>
            </w:r>
          </w:p>
          <w:p>
            <w:pPr>
              <w:spacing w:line="420" w:lineRule="exact"/>
              <w:ind w:firstLine="480" w:firstLineChars="200"/>
              <w:rPr>
                <w:rFonts w:ascii="宋体" w:hAnsi="宋体" w:eastAsia="宋体"/>
                <w:sz w:val="24"/>
                <w:szCs w:val="24"/>
              </w:rPr>
            </w:pPr>
          </w:p>
          <w:p>
            <w:pPr>
              <w:spacing w:line="420" w:lineRule="exact"/>
              <w:ind w:firstLine="480" w:firstLineChars="200"/>
              <w:jc w:val="center"/>
              <w:rPr>
                <w:rFonts w:ascii="宋体" w:hAnsi="宋体" w:eastAsia="宋体"/>
                <w:sz w:val="24"/>
                <w:szCs w:val="24"/>
              </w:rPr>
            </w:pPr>
            <w:r>
              <w:rPr>
                <w:rFonts w:ascii="宋体" w:hAnsi="宋体" w:eastAsia="宋体" w:cs="宋体"/>
                <w:sz w:val="24"/>
                <w:szCs w:val="24"/>
              </w:rPr>
              <w:t xml:space="preserve">                              </w:t>
            </w:r>
            <w:r>
              <w:rPr>
                <w:rFonts w:hint="eastAsia" w:ascii="宋体" w:hAnsi="宋体" w:eastAsia="宋体" w:cs="宋体"/>
                <w:sz w:val="24"/>
                <w:szCs w:val="24"/>
              </w:rPr>
              <w:t>（单位公章）</w:t>
            </w:r>
          </w:p>
          <w:p>
            <w:pPr>
              <w:spacing w:line="420" w:lineRule="exact"/>
              <w:ind w:firstLine="480" w:firstLineChars="200"/>
              <w:jc w:val="center"/>
              <w:rPr>
                <w:rFonts w:ascii="宋体" w:hAnsi="宋体" w:eastAsia="宋体"/>
                <w:sz w:val="24"/>
                <w:szCs w:val="24"/>
              </w:rPr>
            </w:pP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c>
      </w:tr>
    </w:tbl>
    <w:p>
      <w:pPr>
        <w:topLinePunct/>
        <w:snapToGrid w:val="0"/>
        <w:spacing w:line="420" w:lineRule="exact"/>
        <w:ind w:firstLine="480" w:firstLineChars="200"/>
        <w:rPr>
          <w:rFonts w:ascii="宋体" w:hAnsi="宋体" w:eastAsia="宋体"/>
          <w:color w:val="000000"/>
          <w:sz w:val="24"/>
          <w:szCs w:val="24"/>
        </w:rPr>
      </w:pPr>
    </w:p>
    <w:p>
      <w:pPr>
        <w:topLinePunct/>
        <w:snapToGrid w:val="0"/>
        <w:spacing w:line="420" w:lineRule="exact"/>
        <w:rPr>
          <w:rFonts w:ascii="宋体" w:hAnsi="宋体" w:eastAsia="宋体" w:cs="宋体"/>
          <w:color w:val="000000"/>
          <w:sz w:val="24"/>
          <w:szCs w:val="24"/>
        </w:rPr>
      </w:pPr>
    </w:p>
    <w:p>
      <w:pPr>
        <w:topLinePunct/>
        <w:snapToGrid w:val="0"/>
        <w:spacing w:line="420" w:lineRule="exact"/>
        <w:rPr>
          <w:rFonts w:hint="eastAsia" w:ascii="宋体" w:hAnsi="宋体" w:eastAsia="宋体" w:cs="宋体"/>
          <w:color w:val="000000"/>
          <w:sz w:val="24"/>
          <w:szCs w:val="24"/>
        </w:rPr>
      </w:pPr>
    </w:p>
    <w:p>
      <w:pPr>
        <w:topLinePunct/>
        <w:snapToGrid w:val="0"/>
        <w:spacing w:line="420" w:lineRule="exact"/>
        <w:ind w:firstLine="480" w:firstLineChars="200"/>
        <w:rPr>
          <w:rFonts w:hint="eastAsia" w:ascii="宋体" w:hAnsi="宋体" w:eastAsia="宋体" w:cs="宋体"/>
          <w:color w:val="000000"/>
          <w:sz w:val="24"/>
          <w:szCs w:val="24"/>
        </w:rPr>
      </w:pPr>
    </w:p>
    <w:p>
      <w:pPr>
        <w:topLinePunct/>
        <w:snapToGrid w:val="0"/>
        <w:spacing w:line="420" w:lineRule="exact"/>
        <w:ind w:firstLine="480" w:firstLineChars="200"/>
        <w:rPr>
          <w:rFonts w:hint="eastAsia" w:ascii="宋体" w:hAnsi="宋体" w:eastAsia="宋体" w:cs="宋体"/>
          <w:color w:val="000000"/>
          <w:sz w:val="24"/>
          <w:szCs w:val="24"/>
        </w:rPr>
      </w:pPr>
    </w:p>
    <w:p>
      <w:pPr>
        <w:topLinePunct/>
        <w:snapToGrid w:val="0"/>
        <w:spacing w:line="42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附：受托人身份证复印件</w:t>
      </w:r>
      <w:r>
        <w:rPr>
          <w:rFonts w:ascii="宋体" w:hAnsi="宋体" w:eastAsia="宋体" w:cs="宋体"/>
          <w:color w:val="000000"/>
          <w:sz w:val="24"/>
          <w:szCs w:val="24"/>
        </w:rPr>
        <w:t>(</w:t>
      </w:r>
      <w:r>
        <w:rPr>
          <w:rFonts w:hint="eastAsia" w:ascii="宋体" w:hAnsi="宋体" w:eastAsia="宋体" w:cs="宋体"/>
          <w:color w:val="000000"/>
          <w:sz w:val="24"/>
          <w:szCs w:val="24"/>
        </w:rPr>
        <w:t>需同时提供正面及背面</w:t>
      </w:r>
      <w:r>
        <w:rPr>
          <w:rFonts w:ascii="宋体" w:hAnsi="宋体" w:eastAsia="宋体" w:cs="宋体"/>
          <w:color w:val="000000"/>
          <w:sz w:val="24"/>
          <w:szCs w:val="24"/>
        </w:rPr>
        <w:t>)</w:t>
      </w: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r>
        <mc:AlternateContent>
          <mc:Choice Requires="wps">
            <w:drawing>
              <wp:anchor distT="0" distB="0" distL="114300" distR="114300" simplePos="0" relativeHeight="251659264" behindDoc="0" locked="0" layoutInCell="1" allowOverlap="1">
                <wp:simplePos x="0" y="0"/>
                <wp:positionH relativeFrom="column">
                  <wp:posOffset>1320800</wp:posOffset>
                </wp:positionH>
                <wp:positionV relativeFrom="paragraph">
                  <wp:posOffset>46355</wp:posOffset>
                </wp:positionV>
                <wp:extent cx="3481070" cy="2216785"/>
                <wp:effectExtent l="4445" t="4445" r="19685" b="7620"/>
                <wp:wrapNone/>
                <wp:docPr id="3" name="流程图: 可选过程 3"/>
                <wp:cNvGraphicFramePr/>
                <a:graphic xmlns:a="http://schemas.openxmlformats.org/drawingml/2006/main">
                  <a:graphicData uri="http://schemas.microsoft.com/office/word/2010/wordprocessingShape">
                    <wps:wsp>
                      <wps:cNvSpPr/>
                      <wps:spPr>
                        <a:xfrm>
                          <a:off x="0" y="0"/>
                          <a:ext cx="3481070" cy="22167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topLinePunct/>
                              <w:snapToGrid w:val="0"/>
                              <w:spacing w:line="440" w:lineRule="exact"/>
                              <w:rPr>
                                <w:rFonts w:ascii="宋体" w:hAnsi="宋体" w:eastAsia="宋体"/>
                                <w:sz w:val="24"/>
                                <w:szCs w:val="24"/>
                              </w:rPr>
                            </w:pPr>
                            <w:r>
                              <w:rPr>
                                <w:rFonts w:hint="eastAsia" w:ascii="宋体" w:hAnsi="宋体" w:eastAsia="宋体" w:cs="宋体"/>
                                <w:sz w:val="24"/>
                                <w:szCs w:val="24"/>
                              </w:rPr>
                              <w:t>受托人身份证正面复印件贴于此处。</w:t>
                            </w:r>
                          </w:p>
                          <w:p>
                            <w:pPr>
                              <w:topLinePunct/>
                              <w:snapToGrid w:val="0"/>
                              <w:spacing w:line="440" w:lineRule="exact"/>
                              <w:ind w:firstLine="480" w:firstLineChars="200"/>
                              <w:rPr>
                                <w:rFonts w:ascii="宋体" w:hAnsi="宋体" w:eastAsia="宋体"/>
                                <w:sz w:val="24"/>
                                <w:szCs w:val="24"/>
                              </w:rPr>
                            </w:pPr>
                          </w:p>
                        </w:txbxContent>
                      </wps:txbx>
                      <wps:bodyPr upright="1"/>
                    </wps:wsp>
                  </a:graphicData>
                </a:graphic>
              </wp:anchor>
            </w:drawing>
          </mc:Choice>
          <mc:Fallback>
            <w:pict>
              <v:shape id="_x0000_s1026" o:spid="_x0000_s1026" o:spt="176" type="#_x0000_t176" style="position:absolute;left:0pt;margin-left:104pt;margin-top:3.65pt;height:174.55pt;width:274.1pt;z-index:251659264;mso-width-relative:page;mso-height-relative:page;" fillcolor="#FFFFFF" filled="t" stroked="t" coordsize="21600,21600" o:gfxdata="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yO+xTXAAAACQEAAA8AAAAAAAAAAQAgAAAAIgAAAGRycy9kb3ducmV2LnhtbFBLAQIUABQA&#10;AAAIAIdO4kDunQRLKgIAAFAEAAAOAAAAAAAAAAEAIAAAACYBAABkcnMvZTJvRG9jLnhtbFBLBQYA&#10;AAAABgAGAFkBAADCBQAAAAA=&#10;">
                <v:fill on="t" focussize="0,0"/>
                <v:stroke color="#000000" joinstyle="miter"/>
                <v:imagedata o:title=""/>
                <o:lock v:ext="edit" aspectratio="f"/>
                <v:textbox>
                  <w:txbxContent>
                    <w:p>
                      <w:pPr>
                        <w:topLinePunct/>
                        <w:snapToGrid w:val="0"/>
                        <w:spacing w:line="440" w:lineRule="exact"/>
                        <w:rPr>
                          <w:rFonts w:ascii="宋体" w:hAnsi="宋体" w:eastAsia="宋体"/>
                          <w:sz w:val="24"/>
                          <w:szCs w:val="24"/>
                        </w:rPr>
                      </w:pPr>
                      <w:r>
                        <w:rPr>
                          <w:rFonts w:hint="eastAsia" w:ascii="宋体" w:hAnsi="宋体" w:eastAsia="宋体" w:cs="宋体"/>
                          <w:sz w:val="24"/>
                          <w:szCs w:val="24"/>
                        </w:rPr>
                        <w:t>受托人身份证正面复印件贴于此处。</w:t>
                      </w:r>
                    </w:p>
                    <w:p>
                      <w:pPr>
                        <w:topLinePunct/>
                        <w:snapToGrid w:val="0"/>
                        <w:spacing w:line="440" w:lineRule="exact"/>
                        <w:ind w:firstLine="480" w:firstLineChars="200"/>
                        <w:rPr>
                          <w:rFonts w:ascii="宋体" w:hAnsi="宋体" w:eastAsia="宋体"/>
                          <w:sz w:val="24"/>
                          <w:szCs w:val="24"/>
                        </w:rPr>
                      </w:pPr>
                    </w:p>
                  </w:txbxContent>
                </v:textbox>
              </v:shape>
            </w:pict>
          </mc:Fallback>
        </mc:AlternateContent>
      </w: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p>
    <w:p>
      <w:pPr>
        <w:spacing w:line="420" w:lineRule="exact"/>
        <w:rPr>
          <w:rFonts w:ascii="宋体" w:hAnsi="宋体" w:eastAsia="宋体"/>
          <w:color w:val="000000"/>
          <w:sz w:val="24"/>
          <w:szCs w:val="24"/>
        </w:rPr>
      </w:pPr>
      <w: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339090</wp:posOffset>
                </wp:positionV>
                <wp:extent cx="3582670" cy="2192020"/>
                <wp:effectExtent l="5080" t="4445" r="12700" b="13335"/>
                <wp:wrapNone/>
                <wp:docPr id="4" name="流程图: 可选过程 4"/>
                <wp:cNvGraphicFramePr/>
                <a:graphic xmlns:a="http://schemas.openxmlformats.org/drawingml/2006/main">
                  <a:graphicData uri="http://schemas.microsoft.com/office/word/2010/wordprocessingShape">
                    <wps:wsp>
                      <wps:cNvSpPr/>
                      <wps:spPr>
                        <a:xfrm>
                          <a:off x="0" y="0"/>
                          <a:ext cx="3582670" cy="21920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topLinePunct/>
                              <w:snapToGrid w:val="0"/>
                              <w:spacing w:line="440" w:lineRule="exact"/>
                              <w:rPr>
                                <w:rFonts w:ascii="宋体" w:hAnsi="宋体" w:eastAsia="宋体"/>
                                <w:sz w:val="24"/>
                                <w:szCs w:val="24"/>
                              </w:rPr>
                            </w:pPr>
                            <w:r>
                              <w:rPr>
                                <w:rFonts w:hint="eastAsia" w:ascii="宋体" w:hAnsi="宋体" w:eastAsia="宋体" w:cs="宋体"/>
                                <w:sz w:val="24"/>
                                <w:szCs w:val="24"/>
                              </w:rPr>
                              <w:t>受托人身份证背面复印件贴于此处。</w:t>
                            </w:r>
                          </w:p>
                        </w:txbxContent>
                      </wps:txbx>
                      <wps:bodyPr upright="1"/>
                    </wps:wsp>
                  </a:graphicData>
                </a:graphic>
              </wp:anchor>
            </w:drawing>
          </mc:Choice>
          <mc:Fallback>
            <w:pict>
              <v:shape id="_x0000_s1026" o:spid="_x0000_s1026" o:spt="176" type="#_x0000_t176" style="position:absolute;left:0pt;margin-left:95.25pt;margin-top:26.7pt;height:172.6pt;width:282.1pt;z-index:251659264;mso-width-relative:page;mso-height-relative:page;" fillcolor="#FFFFFF" filled="t" stroked="t" coordsize="21600,21600" o:gfxdata="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NxridgAAAAKAQAADwAAAAAAAAABACAAAAAiAAAAZHJzL2Rvd25yZXYueG1sUEsBAhQA&#10;FAAAAAgAh07iQDdn6EorAgAAUAQAAA4AAAAAAAAAAQAgAAAAJwEAAGRycy9lMm9Eb2MueG1sUEsF&#10;BgAAAAAGAAYAWQEAAMQFAAAAAA==&#10;">
                <v:fill on="t" focussize="0,0"/>
                <v:stroke color="#000000" joinstyle="miter"/>
                <v:imagedata o:title=""/>
                <o:lock v:ext="edit" aspectratio="f"/>
                <v:textbox>
                  <w:txbxContent>
                    <w:p>
                      <w:pPr>
                        <w:topLinePunct/>
                        <w:snapToGrid w:val="0"/>
                        <w:spacing w:line="440" w:lineRule="exact"/>
                        <w:rPr>
                          <w:rFonts w:ascii="宋体" w:hAnsi="宋体" w:eastAsia="宋体"/>
                          <w:sz w:val="24"/>
                          <w:szCs w:val="24"/>
                        </w:rPr>
                      </w:pPr>
                      <w:r>
                        <w:rPr>
                          <w:rFonts w:hint="eastAsia" w:ascii="宋体" w:hAnsi="宋体" w:eastAsia="宋体" w:cs="宋体"/>
                          <w:sz w:val="24"/>
                          <w:szCs w:val="24"/>
                        </w:rPr>
                        <w:t>受托人身份证背面复印件贴于此处。</w:t>
                      </w:r>
                    </w:p>
                  </w:txbxContent>
                </v:textbox>
              </v:shape>
            </w:pict>
          </mc:Fallback>
        </mc:AlternateContent>
      </w: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420" w:lineRule="exact"/>
        <w:jc w:val="left"/>
        <w:rPr>
          <w:rFonts w:ascii="宋体" w:hAnsi="宋体" w:eastAsia="宋体"/>
          <w:color w:val="000000"/>
          <w:sz w:val="24"/>
          <w:szCs w:val="24"/>
        </w:rPr>
      </w:pPr>
    </w:p>
    <w:p>
      <w:pPr>
        <w:spacing w:line="500" w:lineRule="exact"/>
        <w:jc w:val="left"/>
        <w:rPr>
          <w:rFonts w:hint="eastAsia" w:ascii="宋体" w:hAnsi="宋体" w:eastAsia="宋体" w:cs="宋体"/>
          <w:color w:val="000000"/>
          <w:sz w:val="24"/>
          <w:szCs w:val="24"/>
        </w:rPr>
      </w:pPr>
    </w:p>
    <w:p>
      <w:pPr>
        <w:spacing w:line="500" w:lineRule="exact"/>
        <w:jc w:val="left"/>
        <w:rPr>
          <w:rFonts w:hint="eastAsia" w:ascii="宋体" w:hAnsi="宋体" w:eastAsia="宋体" w:cs="宋体"/>
          <w:color w:val="000000"/>
          <w:sz w:val="24"/>
          <w:szCs w:val="24"/>
        </w:rPr>
      </w:pPr>
    </w:p>
    <w:p>
      <w:pPr>
        <w:spacing w:line="500" w:lineRule="exact"/>
        <w:jc w:val="left"/>
        <w:rPr>
          <w:rFonts w:hint="eastAsia" w:ascii="宋体" w:hAnsi="宋体" w:eastAsia="宋体" w:cs="宋体"/>
          <w:color w:val="000000"/>
          <w:sz w:val="24"/>
          <w:szCs w:val="24"/>
        </w:rPr>
      </w:pPr>
    </w:p>
    <w:p>
      <w:pPr>
        <w:spacing w:line="500" w:lineRule="exact"/>
        <w:jc w:val="left"/>
        <w:rPr>
          <w:rFonts w:hint="eastAsia" w:ascii="宋体" w:hAnsi="宋体" w:eastAsia="宋体" w:cs="宋体"/>
          <w:color w:val="000000"/>
          <w:sz w:val="24"/>
          <w:szCs w:val="24"/>
        </w:rPr>
      </w:pPr>
    </w:p>
    <w:p>
      <w:pPr>
        <w:spacing w:line="500" w:lineRule="exact"/>
        <w:jc w:val="both"/>
        <w:rPr>
          <w:rFonts w:hint="eastAsia" w:ascii="微软雅黑" w:hAnsi="微软雅黑" w:eastAsia="微软雅黑" w:cs="微软雅黑"/>
          <w:b/>
          <w:bCs/>
          <w:color w:val="000000"/>
          <w:sz w:val="44"/>
          <w:szCs w:val="44"/>
        </w:rPr>
      </w:pPr>
    </w:p>
    <w:p>
      <w:pPr>
        <w:spacing w:line="500" w:lineRule="exact"/>
        <w:ind w:firstLine="440" w:firstLineChars="100"/>
        <w:jc w:val="center"/>
        <w:rPr>
          <w:rFonts w:hint="eastAsia" w:ascii="微软雅黑" w:hAnsi="微软雅黑" w:eastAsia="微软雅黑" w:cs="微软雅黑"/>
          <w:b/>
          <w:bCs/>
          <w:color w:val="000000"/>
          <w:sz w:val="44"/>
          <w:szCs w:val="44"/>
        </w:rPr>
      </w:pPr>
    </w:p>
    <w:p>
      <w:pPr>
        <w:spacing w:line="500" w:lineRule="exact"/>
        <w:ind w:firstLine="440" w:firstLineChars="100"/>
        <w:jc w:val="center"/>
        <w:rPr>
          <w:rFonts w:hint="eastAsia" w:ascii="微软雅黑" w:hAnsi="微软雅黑" w:eastAsia="微软雅黑" w:cs="微软雅黑"/>
          <w:b/>
          <w:bCs/>
          <w:color w:val="000000"/>
          <w:sz w:val="44"/>
          <w:szCs w:val="44"/>
          <w:lang w:eastAsia="zh-CN"/>
        </w:rPr>
      </w:pPr>
      <w:r>
        <w:rPr>
          <w:rFonts w:hint="eastAsia" w:ascii="微软雅黑" w:hAnsi="微软雅黑" w:eastAsia="微软雅黑" w:cs="微软雅黑"/>
          <w:b/>
          <w:bCs/>
          <w:color w:val="000000"/>
          <w:sz w:val="44"/>
          <w:szCs w:val="44"/>
        </w:rPr>
        <w:t>已参加培训的竞买人确认函</w:t>
      </w:r>
      <w:r>
        <w:rPr>
          <w:rFonts w:hint="eastAsia" w:ascii="微软雅黑" w:hAnsi="微软雅黑" w:eastAsia="微软雅黑" w:cs="微软雅黑"/>
          <w:b/>
          <w:bCs/>
          <w:color w:val="000000"/>
          <w:sz w:val="44"/>
          <w:szCs w:val="44"/>
          <w:lang w:eastAsia="zh-CN"/>
        </w:rPr>
        <w:t>（样本）</w:t>
      </w:r>
    </w:p>
    <w:p>
      <w:pPr>
        <w:spacing w:line="500" w:lineRule="exact"/>
        <w:ind w:firstLine="420"/>
        <w:jc w:val="left"/>
        <w:rPr>
          <w:rFonts w:ascii="宋体" w:hAnsi="宋体" w:eastAsia="宋体"/>
          <w:color w:val="000000"/>
          <w:sz w:val="24"/>
          <w:szCs w:val="24"/>
        </w:rPr>
      </w:pPr>
    </w:p>
    <w:p>
      <w:pPr>
        <w:spacing w:line="500" w:lineRule="exact"/>
        <w:ind w:firstLine="360" w:firstLineChars="150"/>
        <w:jc w:val="left"/>
        <w:rPr>
          <w:rFonts w:ascii="宋体" w:hAnsi="宋体" w:eastAsia="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rPr>
        <w:t>本公司已参加拍卖人组织的网络拍卖系统的培训，熟悉网络拍卖的拍卖方式、拍卖规则、出价规则和显示规则。能熟练操作拍卖人提供的网络拍卖平台，在拍卖当日如因电脑运行不畅、</w:t>
      </w:r>
      <w:r>
        <w:rPr>
          <w:rFonts w:ascii="宋体" w:hAnsi="宋体" w:eastAsia="宋体" w:cs="宋体"/>
          <w:color w:val="000000"/>
          <w:sz w:val="24"/>
          <w:szCs w:val="24"/>
        </w:rPr>
        <w:t>Internet</w:t>
      </w:r>
      <w:r>
        <w:rPr>
          <w:rFonts w:hint="eastAsia" w:ascii="宋体" w:hAnsi="宋体" w:eastAsia="宋体" w:cs="宋体"/>
          <w:color w:val="000000"/>
          <w:sz w:val="24"/>
          <w:szCs w:val="24"/>
        </w:rPr>
        <w:t>网络通信不畅，或因本人（公司）对网络拍卖的拍卖方式、拍卖规则、出价规则和显示规则理解错误及本人（公司）操作人员操作失误所引起的一切损失由我（公司）承担，与湖北</w:t>
      </w:r>
      <w:r>
        <w:rPr>
          <w:rFonts w:hint="eastAsia" w:ascii="宋体" w:hAnsi="宋体" w:eastAsia="宋体" w:cs="宋体"/>
          <w:color w:val="000000"/>
          <w:sz w:val="24"/>
          <w:szCs w:val="24"/>
          <w:lang w:eastAsia="zh-CN"/>
        </w:rPr>
        <w:t>金龙湾</w:t>
      </w:r>
      <w:r>
        <w:rPr>
          <w:rFonts w:hint="eastAsia" w:ascii="宋体" w:hAnsi="宋体" w:eastAsia="宋体" w:cs="宋体"/>
          <w:color w:val="000000"/>
          <w:sz w:val="24"/>
          <w:szCs w:val="24"/>
        </w:rPr>
        <w:t>拍卖有限公司、委托人无关。</w:t>
      </w:r>
    </w:p>
    <w:p>
      <w:pPr>
        <w:spacing w:line="500" w:lineRule="exact"/>
        <w:ind w:firstLine="360" w:firstLineChars="150"/>
        <w:jc w:val="left"/>
        <w:rPr>
          <w:rFonts w:ascii="宋体" w:hAnsi="宋体" w:eastAsia="宋体"/>
          <w:color w:val="000000"/>
          <w:sz w:val="24"/>
          <w:szCs w:val="24"/>
        </w:rPr>
      </w:pPr>
      <w:r>
        <w:rPr>
          <w:rFonts w:hint="eastAsia" w:ascii="宋体" w:hAnsi="宋体" w:eastAsia="宋体" w:cs="宋体"/>
          <w:color w:val="000000"/>
          <w:sz w:val="24"/>
          <w:szCs w:val="24"/>
        </w:rPr>
        <w:t>特此承诺！</w:t>
      </w:r>
    </w:p>
    <w:p>
      <w:pPr>
        <w:spacing w:line="500" w:lineRule="exact"/>
        <w:ind w:firstLine="420"/>
        <w:jc w:val="left"/>
        <w:rPr>
          <w:rFonts w:ascii="宋体" w:hAnsi="宋体" w:eastAsia="宋体"/>
          <w:color w:val="000000"/>
          <w:sz w:val="24"/>
          <w:szCs w:val="24"/>
        </w:rPr>
      </w:pPr>
    </w:p>
    <w:p>
      <w:pPr>
        <w:spacing w:line="500" w:lineRule="exact"/>
        <w:jc w:val="left"/>
        <w:rPr>
          <w:rFonts w:ascii="宋体" w:hAnsi="宋体" w:eastAsia="宋体"/>
          <w:color w:val="000000"/>
          <w:sz w:val="24"/>
          <w:szCs w:val="24"/>
        </w:rPr>
      </w:pPr>
    </w:p>
    <w:p>
      <w:pPr>
        <w:spacing w:line="500" w:lineRule="exact"/>
        <w:ind w:firstLine="4080" w:firstLineChars="1700"/>
        <w:jc w:val="left"/>
        <w:rPr>
          <w:rFonts w:ascii="宋体" w:hAnsi="宋体" w:eastAsia="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720" w:lineRule="exact"/>
        <w:ind w:right="958"/>
        <w:jc w:val="center"/>
        <w:textAlignment w:val="auto"/>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rPr>
        <w:t>竞买人（签章）：</w:t>
      </w:r>
      <w:r>
        <w:rPr>
          <w:rFonts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720" w:lineRule="exact"/>
        <w:ind w:right="958" w:firstLine="5040" w:firstLineChars="2100"/>
        <w:textAlignment w:val="auto"/>
        <w:rPr>
          <w:rFonts w:ascii="宋体" w:hAnsi="宋体" w:eastAsia="宋体" w:cs="宋体"/>
          <w:color w:val="000000"/>
          <w:sz w:val="24"/>
          <w:szCs w:val="24"/>
        </w:rPr>
      </w:pPr>
      <w:r>
        <w:rPr>
          <w:rFonts w:hint="eastAsia" w:ascii="宋体" w:hAnsi="宋体" w:eastAsia="宋体" w:cs="宋体"/>
          <w:color w:val="000000"/>
          <w:sz w:val="24"/>
          <w:szCs w:val="24"/>
        </w:rPr>
        <w:t>受托人签字：</w:t>
      </w:r>
      <w:r>
        <w:rPr>
          <w:rFonts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720" w:lineRule="exact"/>
        <w:ind w:right="958" w:firstLine="4560" w:firstLineChars="1900"/>
        <w:textAlignment w:val="auto"/>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rPr>
        <w:t>年</w:t>
      </w:r>
      <w:r>
        <w:rPr>
          <w:rFonts w:ascii="宋体" w:hAnsi="宋体" w:eastAsia="宋体" w:cs="宋体"/>
          <w:color w:val="000000"/>
          <w:sz w:val="24"/>
          <w:szCs w:val="24"/>
        </w:rPr>
        <w:t xml:space="preserve">   </w:t>
      </w:r>
      <w:r>
        <w:rPr>
          <w:rFonts w:hint="eastAsia" w:ascii="宋体" w:hAnsi="宋体" w:eastAsia="宋体" w:cs="宋体"/>
          <w:color w:val="000000"/>
          <w:sz w:val="24"/>
          <w:szCs w:val="24"/>
        </w:rPr>
        <w:t>月</w:t>
      </w:r>
      <w:r>
        <w:rPr>
          <w:rFonts w:ascii="宋体" w:hAnsi="宋体" w:eastAsia="宋体" w:cs="宋体"/>
          <w:color w:val="000000"/>
          <w:sz w:val="24"/>
          <w:szCs w:val="24"/>
        </w:rPr>
        <w:t xml:space="preserve">   </w:t>
      </w:r>
      <w:r>
        <w:rPr>
          <w:rFonts w:hint="eastAsia" w:ascii="宋体" w:hAnsi="宋体" w:eastAsia="宋体" w:cs="宋体"/>
          <w:color w:val="000000"/>
          <w:sz w:val="24"/>
          <w:szCs w:val="24"/>
        </w:rPr>
        <w:t>日</w:t>
      </w:r>
      <w:r>
        <w:rPr>
          <w:rFonts w:ascii="宋体" w:hAnsi="宋体" w:eastAsia="宋体" w:cs="宋体"/>
          <w:color w:val="000000"/>
          <w:sz w:val="24"/>
          <w:szCs w:val="24"/>
        </w:rPr>
        <w:t xml:space="preserve">                 </w:t>
      </w:r>
    </w:p>
    <w:p>
      <w:pPr>
        <w:spacing w:line="500" w:lineRule="exact"/>
        <w:jc w:val="left"/>
        <w:rPr>
          <w:rFonts w:ascii="宋体" w:hAnsi="宋体" w:eastAsia="宋体"/>
          <w:color w:val="000000"/>
          <w:sz w:val="24"/>
          <w:szCs w:val="24"/>
        </w:rPr>
      </w:pPr>
    </w:p>
    <w:p>
      <w:pPr>
        <w:spacing w:line="420" w:lineRule="exact"/>
        <w:ind w:firstLine="4080" w:firstLineChars="1700"/>
        <w:jc w:val="left"/>
        <w:rPr>
          <w:rFonts w:ascii="宋体" w:hAnsi="宋体" w:eastAsia="宋体"/>
          <w:color w:val="000000"/>
          <w:sz w:val="24"/>
          <w:szCs w:val="24"/>
        </w:rPr>
      </w:pPr>
    </w:p>
    <w:p>
      <w:pPr>
        <w:pageBreakBefore w:val="0"/>
        <w:kinsoku/>
        <w:wordWrap/>
        <w:overflowPunct/>
        <w:bidi w:val="0"/>
        <w:spacing w:line="3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Mono CJK JP Regular">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336D6"/>
    <w:rsid w:val="1D873DE5"/>
    <w:rsid w:val="29C918AC"/>
    <w:rsid w:val="371B0063"/>
    <w:rsid w:val="7A53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lang w:val="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Table Paragraph"/>
    <w:basedOn w:val="1"/>
    <w:qFormat/>
    <w:uiPriority w:val="99"/>
    <w:pPr>
      <w:autoSpaceDE w:val="0"/>
      <w:autoSpaceDN w:val="0"/>
      <w:jc w:val="left"/>
    </w:pPr>
    <w:rPr>
      <w:rFonts w:ascii="Noto Sans Mono CJK JP Regular" w:hAnsi="Noto Sans Mono CJK JP Regular" w:eastAsia="宋体" w:cs="Noto Sans Mono CJK JP Regular"/>
      <w:kern w:val="0"/>
      <w:sz w:val="22"/>
      <w:szCs w:val="22"/>
      <w:lang w:val="zh-CN"/>
    </w:rPr>
  </w:style>
  <w:style w:type="paragraph" w:customStyle="1" w:styleId="6">
    <w:name w:val="列出段落1"/>
    <w:basedOn w:val="1"/>
    <w:qFormat/>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2021-06-02T06:35:00Z</dcterms:created>
  <dc:creator>Administrator</dc:creator>
  <cp:lastModifiedBy>Administrator</cp:lastModifiedBy>
  <dcterms:modified xsi:type="dcterms:W3CDTF">2021-06-02T08:29:24Z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E086BC1E5F6E430B95FBA1D44D5B0BC8</vt:lpwstr>
  </property>
</Properties>
</file>