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firstLine="723" w:firstLineChars="200"/>
        <w:jc w:val="center"/>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eastAsia="zh-CN"/>
        </w:rPr>
        <w:t>竞</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买</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须</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知</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本公司遵循“公开、公平、公正、诚实信用”的原则，依法对委托标的物进行公开拍卖，为规范拍卖行为，维护拍卖秩序，保障拍卖活动中各方当事人的合法权益，依据《中华人民共和国拍卖法》特制定本须知：</w:t>
      </w:r>
    </w:p>
    <w:p>
      <w:pPr>
        <w:snapToGrid w:val="0"/>
        <w:spacing w:line="500" w:lineRule="exact"/>
        <w:ind w:firstLine="548" w:firstLineChars="196"/>
        <w:rPr>
          <w:rFonts w:hint="eastAsia" w:ascii="仿宋" w:hAnsi="仿宋" w:eastAsia="仿宋" w:cs="仿宋"/>
          <w:b/>
          <w:bCs/>
          <w:i w:val="0"/>
          <w:caps w:val="0"/>
          <w:color w:val="auto"/>
          <w:spacing w:val="0"/>
          <w:kern w:val="2"/>
          <w:sz w:val="28"/>
          <w:szCs w:val="28"/>
          <w:u w:val="single"/>
          <w:shd w:val="clear" w:color="auto" w:fill="auto"/>
          <w:lang w:val="en-US" w:eastAsia="zh-CN" w:bidi="ar"/>
        </w:rPr>
      </w:pPr>
      <w:r>
        <w:rPr>
          <w:rFonts w:hint="eastAsia" w:ascii="仿宋" w:hAnsi="仿宋" w:eastAsia="仿宋" w:cs="仿宋"/>
          <w:color w:val="auto"/>
          <w:sz w:val="28"/>
          <w:szCs w:val="28"/>
          <w:lang w:eastAsia="zh-CN"/>
        </w:rPr>
        <w:t>拍卖标的：</w:t>
      </w:r>
      <w:r>
        <w:rPr>
          <w:rFonts w:hint="eastAsia" w:ascii="仿宋" w:hAnsi="仿宋" w:eastAsia="仿宋" w:cs="仿宋"/>
          <w:b/>
          <w:bCs/>
          <w:color w:val="auto"/>
          <w:sz w:val="28"/>
          <w:szCs w:val="28"/>
          <w:u w:val="single"/>
          <w:lang w:val="en-US" w:eastAsia="zh-CN"/>
        </w:rPr>
        <w:t>中国长城资产管理股份有限公司山东省分公司拥有的</w:t>
      </w:r>
      <w:r>
        <w:rPr>
          <w:rFonts w:hint="eastAsia" w:ascii="仿宋" w:hAnsi="仿宋" w:eastAsia="仿宋" w:cs="仿宋"/>
          <w:b/>
          <w:bCs/>
          <w:color w:val="auto"/>
          <w:sz w:val="28"/>
          <w:szCs w:val="28"/>
          <w:u w:val="single"/>
          <w:lang w:eastAsia="zh-CN"/>
        </w:rPr>
        <w:t>潍坊上投纺织进出口</w:t>
      </w:r>
      <w:r>
        <w:rPr>
          <w:rFonts w:hint="eastAsia" w:ascii="仿宋" w:hAnsi="仿宋" w:eastAsia="仿宋" w:cs="仿宋"/>
          <w:b/>
          <w:bCs/>
          <w:color w:val="auto"/>
          <w:sz w:val="28"/>
          <w:szCs w:val="28"/>
          <w:u w:val="single"/>
          <w:lang w:val="en-US" w:eastAsia="zh-CN"/>
        </w:rPr>
        <w:t>有限公司</w:t>
      </w:r>
      <w:r>
        <w:rPr>
          <w:rFonts w:hint="eastAsia" w:ascii="仿宋" w:hAnsi="仿宋" w:eastAsia="仿宋" w:cs="仿宋"/>
          <w:b/>
          <w:bCs/>
          <w:color w:val="auto"/>
          <w:sz w:val="28"/>
          <w:szCs w:val="28"/>
          <w:u w:val="single"/>
          <w:lang w:eastAsia="zh-CN"/>
        </w:rPr>
        <w:t>债权，截至2021年</w:t>
      </w:r>
      <w:r>
        <w:rPr>
          <w:rFonts w:hint="eastAsia" w:ascii="仿宋" w:hAnsi="仿宋" w:eastAsia="仿宋" w:cs="仿宋"/>
          <w:b/>
          <w:bCs/>
          <w:color w:val="auto"/>
          <w:sz w:val="28"/>
          <w:szCs w:val="28"/>
          <w:u w:val="single"/>
          <w:lang w:val="en-US" w:eastAsia="zh-CN"/>
        </w:rPr>
        <w:t>2</w:t>
      </w:r>
      <w:r>
        <w:rPr>
          <w:rFonts w:hint="eastAsia" w:ascii="仿宋" w:hAnsi="仿宋" w:eastAsia="仿宋" w:cs="仿宋"/>
          <w:b/>
          <w:bCs/>
          <w:color w:val="auto"/>
          <w:sz w:val="28"/>
          <w:szCs w:val="28"/>
          <w:u w:val="single"/>
          <w:lang w:eastAsia="zh-CN"/>
        </w:rPr>
        <w:t>月</w:t>
      </w:r>
      <w:bookmarkStart w:id="0" w:name="_GoBack"/>
      <w:bookmarkEnd w:id="0"/>
      <w:r>
        <w:rPr>
          <w:rFonts w:hint="eastAsia" w:ascii="仿宋" w:hAnsi="仿宋" w:eastAsia="仿宋" w:cs="仿宋"/>
          <w:b/>
          <w:bCs/>
          <w:color w:val="auto"/>
          <w:sz w:val="28"/>
          <w:szCs w:val="28"/>
          <w:u w:val="single"/>
          <w:lang w:val="en-US" w:eastAsia="zh-CN"/>
        </w:rPr>
        <w:t>21</w:t>
      </w:r>
      <w:r>
        <w:rPr>
          <w:rFonts w:hint="eastAsia" w:ascii="仿宋" w:hAnsi="仿宋" w:eastAsia="仿宋" w:cs="仿宋"/>
          <w:b/>
          <w:bCs/>
          <w:color w:val="auto"/>
          <w:sz w:val="28"/>
          <w:szCs w:val="28"/>
          <w:u w:val="single"/>
          <w:lang w:eastAsia="zh-CN"/>
        </w:rPr>
        <w:t>日，债权</w:t>
      </w:r>
      <w:r>
        <w:rPr>
          <w:rFonts w:hint="eastAsia" w:ascii="仿宋" w:hAnsi="仿宋" w:eastAsia="仿宋" w:cs="仿宋"/>
          <w:b/>
          <w:bCs/>
          <w:color w:val="auto"/>
          <w:sz w:val="28"/>
          <w:szCs w:val="28"/>
          <w:u w:val="single"/>
          <w:lang w:val="en-US" w:eastAsia="zh-CN"/>
        </w:rPr>
        <w:t>金</w:t>
      </w:r>
      <w:r>
        <w:rPr>
          <w:rFonts w:hint="eastAsia" w:ascii="仿宋" w:hAnsi="仿宋" w:eastAsia="仿宋" w:cs="仿宋"/>
          <w:b/>
          <w:bCs/>
          <w:color w:val="auto"/>
          <w:sz w:val="28"/>
          <w:szCs w:val="28"/>
          <w:u w:val="single"/>
          <w:lang w:eastAsia="zh-CN"/>
        </w:rPr>
        <w:t>额合计</w:t>
      </w:r>
      <w:r>
        <w:rPr>
          <w:rFonts w:hint="eastAsia" w:ascii="仿宋" w:hAnsi="仿宋" w:eastAsia="仿宋" w:cs="仿宋"/>
          <w:b/>
          <w:bCs/>
          <w:color w:val="auto"/>
          <w:sz w:val="28"/>
          <w:szCs w:val="28"/>
          <w:u w:val="single"/>
          <w:lang w:val="en-US" w:eastAsia="zh-CN"/>
        </w:rPr>
        <w:t>为</w:t>
      </w:r>
      <w:r>
        <w:rPr>
          <w:rFonts w:hint="eastAsia" w:ascii="仿宋" w:hAnsi="仿宋" w:eastAsia="仿宋" w:cs="仿宋"/>
          <w:b/>
          <w:bCs/>
          <w:color w:val="auto"/>
          <w:sz w:val="28"/>
          <w:szCs w:val="28"/>
          <w:u w:val="single"/>
          <w:lang w:eastAsia="zh-CN"/>
        </w:rPr>
        <w:t>18</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090</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359.54 元，其中：本金</w:t>
      </w:r>
      <w:r>
        <w:rPr>
          <w:rFonts w:hint="eastAsia" w:ascii="仿宋" w:hAnsi="仿宋" w:eastAsia="仿宋" w:cs="仿宋"/>
          <w:b/>
          <w:bCs/>
          <w:color w:val="auto"/>
          <w:sz w:val="28"/>
          <w:szCs w:val="28"/>
          <w:u w:val="single"/>
          <w:lang w:val="en-US" w:eastAsia="zh-CN"/>
        </w:rPr>
        <w:t>为</w:t>
      </w:r>
      <w:r>
        <w:rPr>
          <w:rFonts w:hint="eastAsia" w:ascii="仿宋" w:hAnsi="仿宋" w:eastAsia="仿宋" w:cs="仿宋"/>
          <w:b/>
          <w:bCs/>
          <w:color w:val="auto"/>
          <w:sz w:val="28"/>
          <w:szCs w:val="28"/>
          <w:u w:val="single"/>
          <w:lang w:eastAsia="zh-CN"/>
        </w:rPr>
        <w:t>5</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393</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693.16元，利息</w:t>
      </w:r>
      <w:r>
        <w:rPr>
          <w:rFonts w:hint="eastAsia" w:ascii="仿宋" w:hAnsi="仿宋" w:eastAsia="仿宋" w:cs="仿宋"/>
          <w:b/>
          <w:bCs/>
          <w:color w:val="auto"/>
          <w:sz w:val="28"/>
          <w:szCs w:val="28"/>
          <w:u w:val="single"/>
          <w:lang w:val="en-US" w:eastAsia="zh-CN"/>
        </w:rPr>
        <w:t>为</w:t>
      </w:r>
      <w:r>
        <w:rPr>
          <w:rFonts w:hint="eastAsia" w:ascii="仿宋" w:hAnsi="仿宋" w:eastAsia="仿宋" w:cs="仿宋"/>
          <w:b/>
          <w:bCs/>
          <w:color w:val="auto"/>
          <w:sz w:val="28"/>
          <w:szCs w:val="28"/>
          <w:u w:val="single"/>
          <w:lang w:eastAsia="zh-CN"/>
        </w:rPr>
        <w:t>11</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386</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551.96元，孳生利息为1</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310</w:t>
      </w:r>
      <w:r>
        <w:rPr>
          <w:rFonts w:hint="eastAsia" w:ascii="仿宋" w:hAnsi="仿宋" w:eastAsia="仿宋" w:cs="仿宋"/>
          <w:b/>
          <w:bCs/>
          <w:color w:val="auto"/>
          <w:sz w:val="28"/>
          <w:szCs w:val="28"/>
          <w:u w:val="single"/>
          <w:lang w:val="en-US" w:eastAsia="zh-CN"/>
        </w:rPr>
        <w:t>,</w:t>
      </w:r>
      <w:r>
        <w:rPr>
          <w:rFonts w:hint="eastAsia" w:ascii="仿宋" w:hAnsi="仿宋" w:eastAsia="仿宋" w:cs="仿宋"/>
          <w:b/>
          <w:bCs/>
          <w:color w:val="auto"/>
          <w:sz w:val="28"/>
          <w:szCs w:val="28"/>
          <w:u w:val="single"/>
          <w:lang w:eastAsia="zh-CN"/>
        </w:rPr>
        <w:t>114.42元（2021年</w:t>
      </w:r>
      <w:r>
        <w:rPr>
          <w:rFonts w:hint="eastAsia" w:ascii="仿宋" w:hAnsi="仿宋" w:eastAsia="仿宋" w:cs="仿宋"/>
          <w:b/>
          <w:bCs/>
          <w:color w:val="auto"/>
          <w:sz w:val="28"/>
          <w:szCs w:val="28"/>
          <w:u w:val="single"/>
          <w:lang w:val="en-US" w:eastAsia="zh-CN"/>
        </w:rPr>
        <w:t>2</w:t>
      </w:r>
      <w:r>
        <w:rPr>
          <w:rFonts w:hint="eastAsia" w:ascii="仿宋" w:hAnsi="仿宋" w:eastAsia="仿宋" w:cs="仿宋"/>
          <w:b/>
          <w:bCs/>
          <w:color w:val="auto"/>
          <w:sz w:val="28"/>
          <w:szCs w:val="28"/>
          <w:u w:val="single"/>
          <w:lang w:eastAsia="zh-CN"/>
        </w:rPr>
        <w:t>月</w:t>
      </w:r>
      <w:r>
        <w:rPr>
          <w:rFonts w:hint="eastAsia" w:ascii="仿宋" w:hAnsi="仿宋" w:eastAsia="仿宋" w:cs="仿宋"/>
          <w:b/>
          <w:bCs/>
          <w:color w:val="auto"/>
          <w:sz w:val="28"/>
          <w:szCs w:val="28"/>
          <w:u w:val="single"/>
          <w:lang w:val="en-US" w:eastAsia="zh-CN"/>
        </w:rPr>
        <w:t>21</w:t>
      </w:r>
      <w:r>
        <w:rPr>
          <w:rFonts w:hint="eastAsia" w:ascii="仿宋" w:hAnsi="仿宋" w:eastAsia="仿宋" w:cs="仿宋"/>
          <w:b/>
          <w:bCs/>
          <w:color w:val="auto"/>
          <w:sz w:val="28"/>
          <w:szCs w:val="28"/>
          <w:u w:val="single"/>
          <w:lang w:eastAsia="zh-CN"/>
        </w:rPr>
        <w:t>日之后产生的利息，以及与不良贷款债权相关的从权利亦在本次拍卖范围内）</w:t>
      </w:r>
      <w:r>
        <w:rPr>
          <w:rFonts w:hint="eastAsia" w:ascii="仿宋" w:hAnsi="仿宋" w:eastAsia="仿宋" w:cs="仿宋"/>
          <w:b/>
          <w:bCs/>
          <w:color w:val="auto"/>
          <w:sz w:val="28"/>
          <w:szCs w:val="28"/>
          <w:u w:val="single"/>
          <w:lang w:val="en-US" w:eastAsia="zh-CN"/>
        </w:rPr>
        <w:t>，现状拍卖。最终债权金额、担保等情况以委托人与买受人签署的《债权转让协议》和双方移交材料为准，拍卖人提供的相关资料仅供参考。</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对</w:t>
      </w:r>
      <w:r>
        <w:rPr>
          <w:rFonts w:hint="eastAsia" w:ascii="仿宋" w:hAnsi="仿宋" w:eastAsia="仿宋" w:cs="仿宋"/>
          <w:color w:val="auto"/>
          <w:sz w:val="28"/>
          <w:szCs w:val="28"/>
          <w:lang w:eastAsia="zh-CN"/>
        </w:rPr>
        <w:t>于上述拍卖标的</w:t>
      </w:r>
      <w:r>
        <w:rPr>
          <w:rFonts w:hint="eastAsia" w:ascii="仿宋" w:hAnsi="仿宋" w:eastAsia="仿宋" w:cs="仿宋"/>
          <w:color w:val="auto"/>
          <w:sz w:val="28"/>
          <w:szCs w:val="28"/>
        </w:rPr>
        <w:t>，我公司在此提示风险如下，请竞买人自行把握竞买风险：</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1. 竞买人已被告知并完全理解，长城公司山东分公司转让给竞买人的贷款债权，存在或可能存在下列瑕疵或风险，且因长城公司山东分公司并非贷款债权的原始权利人，长城公司山东分公司无法对其承继的、由任何第三方制作的贷款债权证明文件的真实性、有效性、准确性和完整性提供保证，以至于竞买人受让贷款债权的预期利益可能无法实现。该等瑕疵或风险包括但不限于下列一项或多项：</w:t>
      </w:r>
    </w:p>
    <w:p>
      <w:pPr>
        <w:snapToGrid w:val="0"/>
        <w:spacing w:line="500" w:lineRule="exact"/>
        <w:ind w:right="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1.1贷款债权系不良资产，存在着部分或全部不能回收的风险特性以及清收的困难性；</w:t>
      </w:r>
    </w:p>
    <w:p>
      <w:pPr>
        <w:snapToGrid w:val="0"/>
        <w:spacing w:line="500" w:lineRule="exact"/>
        <w:ind w:right="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1.2 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val="0"/>
        <w:spacing w:line="500" w:lineRule="exact"/>
        <w:ind w:right="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1.3 贷款债权项下借款人、担保人或其他责任主体可能存在破产、被吊销、被注销、被撤销、解散、关闭、歇业、停业、下落不明、无法查询到相关信息以及其他主体存续性瑕疵的情形；</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1.4 贷款债权可能已超过诉讼、执行时效、法定或约定时效或丧失其他相关的期间利益或因其他原因已部分或全部丧失；</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1.5 贷款债权项下担保权利可能未生效、无效、消灭或已过诉讼时效等情形；</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1.6 贷款债权权属文件可能存在缺失（不限于原件）、内容冲突、不真实等相关情形；</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1.7涉诉贷款债权可能存在全部或部分败诉、不能变更诉讼（含执行）主体、相关诉讼、执行费用未付等情形，涉诉贷款债权可能在交割前已诉讼终结、执行终结或破产终结；</w:t>
      </w:r>
    </w:p>
    <w:p>
      <w:pPr>
        <w:snapToGrid w:val="0"/>
        <w:spacing w:line="500" w:lineRule="exact"/>
        <w:ind w:right="0" w:rightChars="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1.8 贷款债权事实上可能已经全部灭失或部分灭失，存在无法向原主从债务人进行追偿的可能性；</w:t>
      </w:r>
    </w:p>
    <w:p>
      <w:pPr>
        <w:snapToGrid w:val="0"/>
        <w:spacing w:line="500" w:lineRule="exact"/>
        <w:ind w:right="0"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1.9买受人受让贷款债权后，对该贷款债权在交割日后的利息或罚息请求权，买受人可能无法继续享有；</w:t>
      </w:r>
    </w:p>
    <w:p>
      <w:pPr>
        <w:snapToGrid w:val="0"/>
        <w:spacing w:line="500" w:lineRule="exact"/>
        <w:ind w:firstLine="548" w:firstLineChars="196"/>
        <w:rPr>
          <w:rFonts w:hint="eastAsia" w:ascii="仿宋" w:hAnsi="仿宋" w:eastAsia="仿宋" w:cs="仿宋"/>
          <w:color w:val="FF0000"/>
          <w:sz w:val="28"/>
          <w:szCs w:val="28"/>
        </w:rPr>
      </w:pPr>
      <w:r>
        <w:rPr>
          <w:rFonts w:hint="eastAsia" w:ascii="仿宋" w:hAnsi="仿宋" w:eastAsia="仿宋" w:cs="仿宋"/>
          <w:color w:val="FF0000"/>
          <w:sz w:val="28"/>
          <w:szCs w:val="28"/>
        </w:rPr>
        <w:t>1.10买受人受让贷款债权后，可能无法享有委托人所享有的国家法律政策规定的各项优惠条件和特殊保护，包括但不限于税收和诉讼方面的优惠和特殊保护；</w:t>
      </w:r>
    </w:p>
    <w:p>
      <w:pPr>
        <w:snapToGrid w:val="0"/>
        <w:spacing w:line="500" w:lineRule="exact"/>
        <w:ind w:firstLine="548" w:firstLineChars="196"/>
        <w:rPr>
          <w:rFonts w:hint="eastAsia" w:ascii="仿宋" w:hAnsi="仿宋" w:eastAsia="仿宋" w:cs="仿宋"/>
          <w:b w:val="0"/>
          <w:bCs w:val="0"/>
          <w:color w:val="FF0000"/>
          <w:sz w:val="28"/>
          <w:szCs w:val="28"/>
        </w:rPr>
      </w:pPr>
      <w:r>
        <w:rPr>
          <w:rFonts w:hint="eastAsia" w:ascii="仿宋" w:hAnsi="仿宋" w:eastAsia="仿宋" w:cs="仿宋"/>
          <w:b w:val="0"/>
          <w:bCs w:val="0"/>
          <w:color w:val="FF0000"/>
          <w:sz w:val="28"/>
          <w:szCs w:val="28"/>
        </w:rPr>
        <w:t>1.11 已诉债权未申请变更执行人，存在终结本次执行程序的情形，买受人受让后可能无法变更执行申请人的情形。</w:t>
      </w:r>
    </w:p>
    <w:p>
      <w:pPr>
        <w:snapToGrid w:val="0"/>
        <w:spacing w:line="500" w:lineRule="exact"/>
        <w:ind w:firstLine="548" w:firstLineChars="196"/>
        <w:rPr>
          <w:rFonts w:hint="eastAsia" w:ascii="仿宋" w:hAnsi="仿宋" w:eastAsia="仿宋" w:cs="仿宋"/>
          <w:b w:val="0"/>
          <w:bCs w:val="0"/>
          <w:color w:val="FF0000"/>
          <w:sz w:val="28"/>
          <w:szCs w:val="28"/>
        </w:rPr>
      </w:pPr>
      <w:r>
        <w:rPr>
          <w:rFonts w:hint="eastAsia" w:ascii="仿宋" w:hAnsi="仿宋" w:eastAsia="仿宋" w:cs="仿宋"/>
          <w:b w:val="0"/>
          <w:bCs w:val="0"/>
          <w:color w:val="FF0000"/>
          <w:sz w:val="28"/>
          <w:szCs w:val="28"/>
        </w:rPr>
        <w:t>1.12已诉债权采取的诉讼保全措施可能存在已到期或即将到期未及时续封情形；</w:t>
      </w:r>
    </w:p>
    <w:p>
      <w:pPr>
        <w:snapToGrid w:val="0"/>
        <w:spacing w:line="500" w:lineRule="exact"/>
        <w:ind w:firstLine="548" w:firstLineChars="196"/>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rPr>
        <w:t>1.13尽管</w:t>
      </w:r>
      <w:r>
        <w:rPr>
          <w:rFonts w:hint="eastAsia" w:ascii="仿宋" w:hAnsi="仿宋" w:eastAsia="仿宋" w:cs="仿宋"/>
          <w:color w:val="auto"/>
          <w:sz w:val="28"/>
          <w:szCs w:val="28"/>
          <w:lang w:val="en-US" w:eastAsia="zh-CN"/>
        </w:rPr>
        <w:t>委托人</w:t>
      </w:r>
      <w:r>
        <w:rPr>
          <w:rFonts w:hint="eastAsia" w:ascii="仿宋" w:hAnsi="仿宋" w:eastAsia="仿宋" w:cs="仿宋"/>
          <w:color w:val="auto"/>
          <w:sz w:val="28"/>
          <w:szCs w:val="28"/>
        </w:rPr>
        <w:t>已对拟转让债权瑕疵作</w:t>
      </w:r>
      <w:r>
        <w:rPr>
          <w:rFonts w:hint="eastAsia" w:ascii="仿宋" w:hAnsi="仿宋" w:eastAsia="仿宋" w:cs="仿宋"/>
          <w:color w:val="auto"/>
          <w:sz w:val="28"/>
          <w:szCs w:val="28"/>
          <w:highlight w:val="none"/>
        </w:rPr>
        <w:t>出上述披露，但该债权仍然存在包括但不限于</w:t>
      </w:r>
      <w:r>
        <w:rPr>
          <w:rFonts w:hint="eastAsia" w:ascii="仿宋" w:hAnsi="仿宋" w:eastAsia="仿宋" w:cs="仿宋"/>
          <w:color w:val="auto"/>
          <w:sz w:val="28"/>
          <w:szCs w:val="28"/>
          <w:highlight w:val="none"/>
          <w:lang w:val="en-US" w:eastAsia="zh-CN"/>
        </w:rPr>
        <w:t>上述的</w:t>
      </w:r>
      <w:r>
        <w:rPr>
          <w:rFonts w:hint="eastAsia" w:ascii="仿宋" w:hAnsi="仿宋" w:eastAsia="仿宋" w:cs="仿宋"/>
          <w:color w:val="auto"/>
          <w:sz w:val="28"/>
          <w:szCs w:val="28"/>
          <w:highlight w:val="none"/>
        </w:rPr>
        <w:t>瑕疵，买受人受让贷款债权前，已充分</w:t>
      </w:r>
      <w:r>
        <w:rPr>
          <w:rFonts w:hint="eastAsia" w:ascii="仿宋" w:hAnsi="仿宋" w:eastAsia="仿宋" w:cs="仿宋"/>
          <w:color w:val="auto"/>
          <w:sz w:val="28"/>
          <w:szCs w:val="28"/>
          <w:highlight w:val="none"/>
          <w:lang w:val="en-US" w:eastAsia="zh-CN"/>
        </w:rPr>
        <w:t>调查知晓</w:t>
      </w:r>
      <w:r>
        <w:rPr>
          <w:rFonts w:hint="eastAsia" w:ascii="仿宋" w:hAnsi="仿宋" w:eastAsia="仿宋" w:cs="仿宋"/>
          <w:color w:val="auto"/>
          <w:sz w:val="28"/>
          <w:szCs w:val="28"/>
          <w:highlight w:val="none"/>
          <w:lang w:eastAsia="zh-CN"/>
        </w:rPr>
        <w:t>。</w:t>
      </w:r>
    </w:p>
    <w:p>
      <w:pPr>
        <w:snapToGrid w:val="0"/>
        <w:spacing w:line="500" w:lineRule="exact"/>
        <w:ind w:firstLine="548" w:firstLineChars="196"/>
        <w:rPr>
          <w:rFonts w:hint="eastAsia" w:ascii="仿宋" w:hAnsi="仿宋" w:eastAsia="仿宋" w:cs="仿宋"/>
          <w:color w:val="auto"/>
          <w:sz w:val="28"/>
          <w:szCs w:val="28"/>
        </w:rPr>
      </w:pPr>
      <w:r>
        <w:rPr>
          <w:rFonts w:hint="eastAsia" w:ascii="仿宋" w:hAnsi="仿宋" w:eastAsia="仿宋" w:cs="仿宋"/>
          <w:color w:val="auto"/>
          <w:sz w:val="28"/>
          <w:szCs w:val="28"/>
        </w:rPr>
        <w:t>竞买人应承诺受让债权后将不以任何理由向长城公司山东分公司追索任何责任，自愿承担一切风险。长城公司山东分公司对上述瑕疵或风险不发表任何判断性结论，由竞买人自行作出判断，</w:t>
      </w:r>
      <w:r>
        <w:rPr>
          <w:rFonts w:hint="eastAsia" w:ascii="仿宋" w:hAnsi="仿宋" w:eastAsia="仿宋" w:cs="仿宋"/>
          <w:color w:val="auto"/>
          <w:sz w:val="28"/>
          <w:szCs w:val="28"/>
          <w:lang w:eastAsia="zh-CN"/>
        </w:rPr>
        <w:t>拍卖人、</w:t>
      </w:r>
      <w:r>
        <w:rPr>
          <w:rFonts w:hint="eastAsia" w:ascii="仿宋" w:hAnsi="仿宋" w:eastAsia="仿宋" w:cs="仿宋"/>
          <w:color w:val="auto"/>
          <w:sz w:val="28"/>
          <w:szCs w:val="28"/>
        </w:rPr>
        <w:t>长城公司山东分公司及前手权利人不承担任何责任。</w:t>
      </w:r>
    </w:p>
    <w:p>
      <w:pPr>
        <w:snapToGrid w:val="0"/>
        <w:spacing w:line="500" w:lineRule="exact"/>
        <w:ind w:firstLine="548" w:firstLineChars="196"/>
        <w:rPr>
          <w:rFonts w:hint="eastAsia" w:ascii="仿宋" w:hAnsi="仿宋" w:eastAsia="仿宋" w:cs="仿宋"/>
          <w:b w:val="0"/>
          <w:bCs w:val="0"/>
          <w:sz w:val="28"/>
          <w:szCs w:val="28"/>
        </w:rPr>
      </w:pPr>
      <w:r>
        <w:rPr>
          <w:rFonts w:hint="eastAsia" w:ascii="仿宋" w:hAnsi="仿宋" w:eastAsia="仿宋" w:cs="仿宋"/>
          <w:b w:val="0"/>
          <w:bCs w:val="0"/>
          <w:color w:val="auto"/>
          <w:sz w:val="28"/>
          <w:szCs w:val="28"/>
          <w:lang w:eastAsia="zh-CN"/>
        </w:rPr>
        <w:t>竞买人</w:t>
      </w:r>
      <w:r>
        <w:rPr>
          <w:rFonts w:hint="eastAsia" w:ascii="仿宋" w:hAnsi="仿宋" w:eastAsia="仿宋" w:cs="仿宋"/>
          <w:b w:val="0"/>
          <w:bCs w:val="0"/>
          <w:color w:val="auto"/>
          <w:sz w:val="28"/>
          <w:szCs w:val="28"/>
        </w:rPr>
        <w:t>声明并承诺：本人已全面了解拍卖标的现状（包括瑕疵），认可本次拍卖会的全部要求，对所拍卖的标的无异议，并承诺按竞买协议及竞买须知要求办理各项事宜。如果违约，由委托方、拍卖公司按照《拍卖法》及有关法律规定办理，并承担违约责任。</w:t>
      </w:r>
    </w:p>
    <w:p>
      <w:pPr>
        <w:snapToGrid w:val="0"/>
        <w:spacing w:line="500" w:lineRule="exact"/>
        <w:ind w:firstLine="548" w:firstLineChars="196"/>
        <w:rPr>
          <w:rFonts w:hint="eastAsia" w:ascii="仿宋" w:hAnsi="仿宋" w:eastAsia="仿宋" w:cs="仿宋"/>
          <w:color w:val="000000"/>
          <w:sz w:val="28"/>
          <w:szCs w:val="28"/>
        </w:rPr>
      </w:pPr>
    </w:p>
    <w:p>
      <w:pPr>
        <w:spacing w:line="500" w:lineRule="exact"/>
        <w:ind w:firstLine="562" w:firstLineChars="200"/>
        <w:jc w:val="left"/>
        <w:rPr>
          <w:rFonts w:hint="eastAsia" w:ascii="仿宋" w:hAnsi="仿宋" w:eastAsia="仿宋" w:cs="仿宋"/>
          <w:color w:val="000000"/>
          <w:sz w:val="28"/>
          <w:szCs w:val="28"/>
        </w:rPr>
      </w:pPr>
      <w:r>
        <w:rPr>
          <w:rFonts w:hint="eastAsia" w:ascii="仿宋" w:hAnsi="仿宋" w:eastAsia="仿宋" w:cs="仿宋"/>
          <w:b/>
          <w:bCs/>
          <w:color w:val="000000"/>
          <w:sz w:val="28"/>
          <w:szCs w:val="28"/>
        </w:rPr>
        <w:t>竞买人签字</w:t>
      </w:r>
      <w:r>
        <w:rPr>
          <w:rFonts w:hint="eastAsia" w:ascii="仿宋" w:hAnsi="仿宋" w:eastAsia="仿宋" w:cs="仿宋"/>
          <w:b/>
          <w:bCs/>
          <w:color w:val="000000"/>
          <w:sz w:val="28"/>
          <w:szCs w:val="28"/>
          <w:lang w:val="en-US" w:eastAsia="zh-CN"/>
        </w:rPr>
        <w:t xml:space="preserve"> (单位公章)：</w:t>
      </w: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p>
    <w:p>
      <w:pPr>
        <w:wordWrap w:val="0"/>
        <w:spacing w:line="500" w:lineRule="exact"/>
        <w:ind w:firstLine="562" w:firstLineChars="200"/>
        <w:jc w:val="right"/>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val="0"/>
          <w:bCs w:val="0"/>
          <w:color w:val="000000"/>
          <w:sz w:val="28"/>
          <w:szCs w:val="28"/>
        </w:rPr>
        <w:t>光彩银星拍卖有限公司</w:t>
      </w:r>
      <w:r>
        <w:rPr>
          <w:rFonts w:hint="eastAsia" w:ascii="仿宋" w:hAnsi="仿宋" w:eastAsia="仿宋" w:cs="仿宋"/>
          <w:b w:val="0"/>
          <w:bCs w:val="0"/>
          <w:color w:val="000000"/>
          <w:sz w:val="28"/>
          <w:szCs w:val="28"/>
          <w:lang w:val="en-US" w:eastAsia="zh-CN"/>
        </w:rPr>
        <w:t xml:space="preserve">  </w:t>
      </w:r>
    </w:p>
    <w:p>
      <w:pPr>
        <w:spacing w:line="500" w:lineRule="exact"/>
        <w:ind w:firstLine="560" w:firstLineChars="200"/>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仿宋" w:hAnsi="仿宋" w:eastAsia="仿宋" w:cs="Times New Roman"/>
          <w:color w:val="000000"/>
          <w:sz w:val="28"/>
          <w:szCs w:val="28"/>
          <w:lang w:val="en-US" w:eastAsia="zh-CN"/>
        </w:rPr>
        <w:t>2021年6月21日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22"/>
    <w:rsid w:val="000107E6"/>
    <w:rsid w:val="0005093E"/>
    <w:rsid w:val="00087F4D"/>
    <w:rsid w:val="000C1FB2"/>
    <w:rsid w:val="00156C84"/>
    <w:rsid w:val="001A10D8"/>
    <w:rsid w:val="00380600"/>
    <w:rsid w:val="00407E1B"/>
    <w:rsid w:val="00411964"/>
    <w:rsid w:val="00493FA1"/>
    <w:rsid w:val="004A7B13"/>
    <w:rsid w:val="00503251"/>
    <w:rsid w:val="00531492"/>
    <w:rsid w:val="005379A1"/>
    <w:rsid w:val="0059204E"/>
    <w:rsid w:val="005D45D0"/>
    <w:rsid w:val="00677725"/>
    <w:rsid w:val="00696159"/>
    <w:rsid w:val="006B3DF6"/>
    <w:rsid w:val="007745EF"/>
    <w:rsid w:val="00776E28"/>
    <w:rsid w:val="00972FCC"/>
    <w:rsid w:val="009E6445"/>
    <w:rsid w:val="00A1557D"/>
    <w:rsid w:val="00A15E89"/>
    <w:rsid w:val="00A602BA"/>
    <w:rsid w:val="00AB16F9"/>
    <w:rsid w:val="00AF5D9E"/>
    <w:rsid w:val="00BB656E"/>
    <w:rsid w:val="00BD078F"/>
    <w:rsid w:val="00C1405E"/>
    <w:rsid w:val="00C169DB"/>
    <w:rsid w:val="00D06D12"/>
    <w:rsid w:val="00D80BE3"/>
    <w:rsid w:val="00DB4569"/>
    <w:rsid w:val="00DF597A"/>
    <w:rsid w:val="00E07736"/>
    <w:rsid w:val="00E3263C"/>
    <w:rsid w:val="00E614E2"/>
    <w:rsid w:val="00EE4177"/>
    <w:rsid w:val="00F91415"/>
    <w:rsid w:val="00F970C3"/>
    <w:rsid w:val="00FB0511"/>
    <w:rsid w:val="00FE2755"/>
    <w:rsid w:val="0345226B"/>
    <w:rsid w:val="096C0BCF"/>
    <w:rsid w:val="0DB4363B"/>
    <w:rsid w:val="10275A60"/>
    <w:rsid w:val="10CB0E22"/>
    <w:rsid w:val="10D43807"/>
    <w:rsid w:val="11C44D07"/>
    <w:rsid w:val="17580747"/>
    <w:rsid w:val="1C877397"/>
    <w:rsid w:val="1DBC563E"/>
    <w:rsid w:val="1F8220EA"/>
    <w:rsid w:val="21ED4D71"/>
    <w:rsid w:val="22102F4D"/>
    <w:rsid w:val="22DD73CC"/>
    <w:rsid w:val="24575584"/>
    <w:rsid w:val="24E03205"/>
    <w:rsid w:val="26767A40"/>
    <w:rsid w:val="28A511BD"/>
    <w:rsid w:val="3031111E"/>
    <w:rsid w:val="3256430F"/>
    <w:rsid w:val="333E02EA"/>
    <w:rsid w:val="3581054D"/>
    <w:rsid w:val="35F9234B"/>
    <w:rsid w:val="3723716F"/>
    <w:rsid w:val="3A3A28D6"/>
    <w:rsid w:val="3D52260D"/>
    <w:rsid w:val="411421CE"/>
    <w:rsid w:val="424C69D4"/>
    <w:rsid w:val="465D2D4B"/>
    <w:rsid w:val="48853BDF"/>
    <w:rsid w:val="4A7A41D8"/>
    <w:rsid w:val="4A8F1DB8"/>
    <w:rsid w:val="4B3451EA"/>
    <w:rsid w:val="4B4F5075"/>
    <w:rsid w:val="4B50378B"/>
    <w:rsid w:val="4C83089F"/>
    <w:rsid w:val="4DB93369"/>
    <w:rsid w:val="4F390BF3"/>
    <w:rsid w:val="503D3E3A"/>
    <w:rsid w:val="54FF48AC"/>
    <w:rsid w:val="5B8E1592"/>
    <w:rsid w:val="5E6758CB"/>
    <w:rsid w:val="5F313AE2"/>
    <w:rsid w:val="5F390517"/>
    <w:rsid w:val="62DD20EE"/>
    <w:rsid w:val="63630F13"/>
    <w:rsid w:val="645E0C0F"/>
    <w:rsid w:val="673803F1"/>
    <w:rsid w:val="69FC0C75"/>
    <w:rsid w:val="6B524C0D"/>
    <w:rsid w:val="6BBB1A5F"/>
    <w:rsid w:val="6D68579E"/>
    <w:rsid w:val="6EE667EE"/>
    <w:rsid w:val="7181238A"/>
    <w:rsid w:val="71FB6A51"/>
    <w:rsid w:val="74F3142E"/>
    <w:rsid w:val="7B2A1A27"/>
    <w:rsid w:val="7B2C592D"/>
    <w:rsid w:val="7E3C66ED"/>
    <w:rsid w:val="7FA001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qFormat/>
    <w:uiPriority w:val="0"/>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w:basedOn w:val="1"/>
    <w:qFormat/>
    <w:uiPriority w:val="0"/>
    <w:rPr>
      <w:rFonts w:eastAsia="仿宋_GB2312"/>
      <w:sz w:val="32"/>
    </w:rPr>
  </w:style>
  <w:style w:type="paragraph" w:styleId="4">
    <w:name w:val="Body Text Indent"/>
    <w:basedOn w:val="1"/>
    <w:qFormat/>
    <w:uiPriority w:val="0"/>
    <w:pPr>
      <w:spacing w:after="120" w:afterLines="0"/>
      <w:ind w:left="420" w:leftChars="200"/>
    </w:pPr>
  </w:style>
  <w:style w:type="paragraph" w:styleId="5">
    <w:name w:val="Date"/>
    <w:basedOn w:val="1"/>
    <w:next w:val="1"/>
    <w:link w:val="17"/>
    <w:qFormat/>
    <w:uiPriority w:val="0"/>
    <w:pPr>
      <w:ind w:left="100" w:leftChars="2500"/>
    </w:pPr>
    <w:rPr>
      <w:kern w:val="2"/>
      <w:sz w:val="21"/>
      <w:szCs w:val="24"/>
    </w:rPr>
  </w:style>
  <w:style w:type="paragraph" w:styleId="6">
    <w:name w:val="Body Text Indent 2"/>
    <w:basedOn w:val="1"/>
    <w:qFormat/>
    <w:uiPriority w:val="0"/>
    <w:pPr>
      <w:ind w:firstLine="642" w:firstLineChars="200"/>
    </w:pPr>
    <w:rPr>
      <w:rFonts w:eastAsia="仿宋_GB2312"/>
      <w:sz w:val="32"/>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12">
    <w:name w:val="_Style 7"/>
    <w:basedOn w:val="1"/>
    <w:link w:val="11"/>
    <w:qFormat/>
    <w:uiPriority w:val="0"/>
  </w:style>
  <w:style w:type="character" w:styleId="13">
    <w:name w:val="page number"/>
    <w:basedOn w:val="11"/>
    <w:qFormat/>
    <w:uiPriority w:val="0"/>
  </w:style>
  <w:style w:type="paragraph" w:customStyle="1" w:styleId="14">
    <w:name w:val="Char"/>
    <w:basedOn w:val="1"/>
    <w:qFormat/>
    <w:uiPriority w:val="0"/>
  </w:style>
  <w:style w:type="paragraph" w:customStyle="1" w:styleId="15">
    <w:name w:val="默认段落字体 Para Char Char Char Char Char Char Char"/>
    <w:basedOn w:val="1"/>
    <w:qFormat/>
    <w:uiPriority w:val="0"/>
  </w:style>
  <w:style w:type="paragraph" w:customStyle="1" w:styleId="16">
    <w:name w:val=" Char"/>
    <w:basedOn w:val="1"/>
    <w:qFormat/>
    <w:uiPriority w:val="0"/>
  </w:style>
  <w:style w:type="character" w:customStyle="1" w:styleId="17">
    <w:name w:val="日期 Char"/>
    <w:link w:val="5"/>
    <w:qFormat/>
    <w:uiPriority w:val="0"/>
    <w:rPr>
      <w:kern w:val="2"/>
      <w:sz w:val="21"/>
      <w:szCs w:val="24"/>
    </w:rPr>
  </w:style>
  <w:style w:type="character" w:customStyle="1" w:styleId="18">
    <w:name w:val="页眉 Char Char"/>
    <w:link w:val="9"/>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GWAMCC</Company>
  <Pages>4</Pages>
  <Words>346</Words>
  <Characters>1978</Characters>
  <Lines>16</Lines>
  <Paragraphs>4</Paragraphs>
  <TotalTime>0</TotalTime>
  <ScaleCrop>false</ScaleCrop>
  <LinksUpToDate>false</LinksUpToDate>
  <CharactersWithSpaces>2320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2009-08-21T00:09:00Z</dcterms:created>
  <dc:creator>陈炜(总公司)</dc:creator>
  <cp:lastModifiedBy>洪力网张海峰18678653936</cp:lastModifiedBy>
  <cp:lastPrinted>2021-05-31T05:02:00Z</cp:lastPrinted>
  <dcterms:modified xsi:type="dcterms:W3CDTF">2021-06-21T04:47:01Z</dcterms:modified>
  <dc:title>附件1：</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A88F7E26F94E4E0FA3B87EF23177C425</vt:lpwstr>
  </property>
</Properties>
</file>