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723" w:firstLineChars="200"/>
        <w:jc w:val="center"/>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竞</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lang w:eastAsia="zh-CN"/>
        </w:rPr>
        <w:t>买</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lang w:eastAsia="zh-CN"/>
        </w:rPr>
        <w:t>须</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lang w:eastAsia="zh-CN"/>
        </w:rPr>
        <w:t>知</w:t>
      </w:r>
    </w:p>
    <w:p>
      <w:pPr>
        <w:snapToGrid w:val="0"/>
        <w:spacing w:line="38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本公司遵循“公开、公平、公正、诚实信用”</w:t>
      </w:r>
      <w:bookmarkStart w:id="0" w:name="_GoBack"/>
      <w:bookmarkEnd w:id="0"/>
      <w:r>
        <w:rPr>
          <w:rFonts w:hint="eastAsia" w:ascii="仿宋" w:hAnsi="仿宋" w:eastAsia="仿宋" w:cs="仿宋"/>
          <w:color w:val="auto"/>
          <w:sz w:val="28"/>
          <w:szCs w:val="28"/>
        </w:rPr>
        <w:t>的原则，依法对委托标的物进行公开拍卖，为规范拍卖行为，维护拍卖秩序，保障拍卖活动中各方当事人的合法权益，依据《中华人民共和国拍卖法》特制定本须知：</w:t>
      </w:r>
    </w:p>
    <w:p>
      <w:pPr>
        <w:snapToGrid/>
        <w:spacing w:line="380" w:lineRule="exact"/>
        <w:ind w:firstLine="560" w:firstLineChars="200"/>
        <w:rPr>
          <w:rFonts w:hint="eastAsia" w:ascii="仿宋" w:hAnsi="仿宋" w:eastAsia="仿宋" w:cs="仿宋"/>
          <w:b w:val="0"/>
          <w:bCs w:val="0"/>
          <w:i w:val="0"/>
          <w:caps w:val="0"/>
          <w:color w:val="auto"/>
          <w:spacing w:val="0"/>
          <w:kern w:val="2"/>
          <w:sz w:val="28"/>
          <w:szCs w:val="28"/>
          <w:u w:val="single"/>
          <w:shd w:val="clear" w:fill="auto"/>
          <w:lang w:val="en-US" w:eastAsia="zh-CN" w:bidi="ar"/>
        </w:rPr>
      </w:pPr>
      <w:r>
        <w:rPr>
          <w:rFonts w:hint="eastAsia" w:ascii="仿宋" w:hAnsi="仿宋" w:eastAsia="仿宋" w:cs="仿宋"/>
          <w:color w:val="auto"/>
          <w:sz w:val="28"/>
          <w:szCs w:val="28"/>
          <w:lang w:eastAsia="zh-CN"/>
        </w:rPr>
        <w:t>拍卖标的：</w:t>
      </w:r>
      <w:r>
        <w:rPr>
          <w:rFonts w:hint="eastAsia" w:ascii="仿宋" w:hAnsi="仿宋" w:eastAsia="仿宋" w:cs="仿宋"/>
          <w:b w:val="0"/>
          <w:bCs w:val="0"/>
          <w:color w:val="auto"/>
          <w:sz w:val="28"/>
          <w:szCs w:val="28"/>
          <w:u w:val="single"/>
          <w:lang w:val="en-US" w:eastAsia="zh-CN"/>
        </w:rPr>
        <w:t>中国长城资产管理股份有限公司山东省分公司拥有的中海海洋科技股份有限公司债权（详情见拍卖清单），截至2022年1月4日，债权合计为49,205,134.58元，其中：本金为39,848,137.52元，利息为9,356,997.06元（2022年1月4日之后产生的利息，以及与不良贷款债权相关的从权利亦在本次拍卖范围内），现状拍卖。最终债权金额、担保等情况以委托人与买受人签署的《债权转让协议》和双方移交材料为准，拍卖人提供的相关资料仅供参考。</w:t>
      </w:r>
    </w:p>
    <w:p>
      <w:pPr>
        <w:snapToGrid w:val="0"/>
        <w:spacing w:line="38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对</w:t>
      </w:r>
      <w:r>
        <w:rPr>
          <w:rFonts w:hint="eastAsia" w:ascii="仿宋" w:hAnsi="仿宋" w:eastAsia="仿宋" w:cs="仿宋"/>
          <w:color w:val="auto"/>
          <w:sz w:val="28"/>
          <w:szCs w:val="28"/>
          <w:lang w:eastAsia="zh-CN"/>
        </w:rPr>
        <w:t>于上述拍卖标的</w:t>
      </w:r>
      <w:r>
        <w:rPr>
          <w:rFonts w:hint="eastAsia" w:ascii="仿宋" w:hAnsi="仿宋" w:eastAsia="仿宋" w:cs="仿宋"/>
          <w:color w:val="auto"/>
          <w:sz w:val="28"/>
          <w:szCs w:val="28"/>
        </w:rPr>
        <w:t>，我公司在此提示风险如下，请竞买人自行把握竞买风险：</w:t>
      </w:r>
    </w:p>
    <w:p>
      <w:pPr>
        <w:snapToGrid w:val="0"/>
        <w:spacing w:line="38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 竞买人已被告知并完全理解，长城公司山东分公司转让给竞买人的贷款债权，存在或可能存在下列瑕疵或风险，且因长城公司山东分公司并非贷款债权的原始权利人，长城公司山东分公司无法对其承继的、由任何第三方制作的贷款债权证明文件的真实性、有效性、准确性和完整性提供保证，以至于竞买人受让贷款债权的预期利益可能无法实现。该等瑕疵或风险包括但不限于下列一项或多项：</w:t>
      </w:r>
    </w:p>
    <w:p>
      <w:pPr>
        <w:snapToGrid w:val="0"/>
        <w:spacing w:line="380" w:lineRule="exact"/>
        <w:ind w:right="0"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1.1 贷款债权系不良资产，存在着部分或全部不能回收的风险特性以及清收的困难性；</w:t>
      </w:r>
    </w:p>
    <w:p>
      <w:pPr>
        <w:snapToGrid w:val="0"/>
        <w:spacing w:line="380" w:lineRule="exact"/>
        <w:ind w:right="0"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1.2 由于可能存在的计算误差或其他原因，受让人实际接收的贷款债权金额与附件一《拍卖债权明细表》载明的金额可能不完全一致；基于有关司法政策文件，买受人受让贷款债权后向债务人或担保人所能主张并获得司法支持的利息可能与与附件一《拍卖债权明细表》中所列明的利息不完全一致；</w:t>
      </w:r>
    </w:p>
    <w:p>
      <w:pPr>
        <w:snapToGrid w:val="0"/>
        <w:spacing w:line="380" w:lineRule="exact"/>
        <w:ind w:right="0"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1.3 贷款债权项下借款人、担保人或其他责任主体可能存在破产、被吊销、被注销、被撤销、解散、关闭、歇业、停业、下落不明、无法查询到相关信息以及其他主体存续性瑕疵的情形；</w:t>
      </w:r>
    </w:p>
    <w:p>
      <w:pPr>
        <w:snapToGrid w:val="0"/>
        <w:spacing w:line="380" w:lineRule="exact"/>
        <w:ind w:right="0" w:rightChars="0"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1.4 贷款债权可能已超过诉讼、执行时效、法定或约定时效或丧失其他相关的期间利益或因其他原因已部分或全部丧失；</w:t>
      </w:r>
    </w:p>
    <w:p>
      <w:pPr>
        <w:snapToGrid w:val="0"/>
        <w:spacing w:line="380" w:lineRule="exact"/>
        <w:ind w:right="0" w:rightChars="0"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1.5 贷款债权项下担保权利可能未生效、无效、消灭或已过诉讼时效等情形；</w:t>
      </w:r>
    </w:p>
    <w:p>
      <w:pPr>
        <w:snapToGrid w:val="0"/>
        <w:spacing w:line="380" w:lineRule="exact"/>
        <w:ind w:right="0" w:rightChars="0"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1.6 贷款债权权属文件可能存在缺失（不限于原件）、内容冲突、不真实等相关情形；</w:t>
      </w:r>
    </w:p>
    <w:p>
      <w:pPr>
        <w:snapToGrid w:val="0"/>
        <w:spacing w:line="380" w:lineRule="exact"/>
        <w:ind w:right="0" w:rightChars="0"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1.7 涉诉贷款债权可能存在全部或部分败诉、不能变更诉讼（含执行）主体、相关诉讼、执行费用未付等情形，涉诉贷款债权可能在交割前已诉讼终结、执行终结或破产终结；</w:t>
      </w:r>
    </w:p>
    <w:p>
      <w:pPr>
        <w:snapToGrid w:val="0"/>
        <w:spacing w:line="380" w:lineRule="exact"/>
        <w:ind w:right="0" w:rightChars="0"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1.8 贷款债权事实上可能已经全部灭失或部分灭失，存在无法向原主从债务人进行追偿的可能性；</w:t>
      </w:r>
    </w:p>
    <w:p>
      <w:pPr>
        <w:snapToGrid w:val="0"/>
        <w:spacing w:line="380" w:lineRule="exact"/>
        <w:ind w:right="0"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1.9 买受人受让贷款债权后，对该贷款债权在交割日后的利息或罚息请求权，买受人可能无法继续享有；</w:t>
      </w:r>
    </w:p>
    <w:p>
      <w:pPr>
        <w:snapToGrid w:val="0"/>
        <w:spacing w:line="38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1.10 买受人受让贷款债权后，可能无法享有委托人所享有的国家法律政策规定的各项优惠条件和特殊保护，包括但不限于税收和诉讼方面的优惠和特殊保护；</w:t>
      </w:r>
    </w:p>
    <w:p>
      <w:pPr>
        <w:snapToGrid w:val="0"/>
        <w:spacing w:line="38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1.11 借款人或担保人可能已停产或半停产，以及难以联系到借款人的实际控制人等情形；</w:t>
      </w:r>
    </w:p>
    <w:p>
      <w:pPr>
        <w:snapToGrid w:val="0"/>
        <w:spacing w:line="38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1.12 担保人中海海洋（青岛）肽谷产业园有限公司曾于2019年11月1日向工商登记机关申请简易注销登记，但目前该企业的工商登记状态为在营（在业）状态。</w:t>
      </w:r>
    </w:p>
    <w:p>
      <w:pPr>
        <w:snapToGrid w:val="0"/>
        <w:spacing w:line="380" w:lineRule="exact"/>
        <w:ind w:left="0"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1.13 该户债权项下的抵押设备存在毁损灭失风险；</w:t>
      </w:r>
    </w:p>
    <w:p>
      <w:pPr>
        <w:snapToGrid w:val="0"/>
        <w:spacing w:line="38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1.14 该户债权项下的抵押房地产已对外长期租赁，存在收益受损等处置风险；</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 xml:space="preserve">    1.15 该户债权涉诉判决尚未生效、未申请执行。</w:t>
      </w:r>
    </w:p>
    <w:p>
      <w:pPr>
        <w:snapToGrid w:val="0"/>
        <w:spacing w:line="38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竞买人应承诺受让债权后将不以任何理由向长城公司山东分公司追索任何责任，自愿承担一切风险。长城公司山东分公司对上述瑕疵或风险不发表任何判断性结论，由竞买人自行作出判断，</w:t>
      </w:r>
      <w:r>
        <w:rPr>
          <w:rFonts w:hint="eastAsia" w:ascii="仿宋" w:hAnsi="仿宋" w:eastAsia="仿宋" w:cs="仿宋"/>
          <w:color w:val="auto"/>
          <w:sz w:val="28"/>
          <w:szCs w:val="28"/>
          <w:lang w:eastAsia="zh-CN"/>
        </w:rPr>
        <w:t>拍卖人、</w:t>
      </w:r>
      <w:r>
        <w:rPr>
          <w:rFonts w:hint="eastAsia" w:ascii="仿宋" w:hAnsi="仿宋" w:eastAsia="仿宋" w:cs="仿宋"/>
          <w:color w:val="auto"/>
          <w:sz w:val="28"/>
          <w:szCs w:val="28"/>
        </w:rPr>
        <w:t>长城公司山东分公司及前手权利人不承担任何责任。</w:t>
      </w:r>
    </w:p>
    <w:p>
      <w:pPr>
        <w:snapToGrid w:val="0"/>
        <w:spacing w:line="380" w:lineRule="exact"/>
        <w:ind w:firstLine="548" w:firstLineChars="196"/>
        <w:rPr>
          <w:rFonts w:hint="eastAsia" w:ascii="仿宋" w:hAnsi="仿宋" w:eastAsia="仿宋" w:cs="仿宋"/>
          <w:color w:val="000000"/>
          <w:sz w:val="28"/>
          <w:szCs w:val="28"/>
        </w:rPr>
      </w:pPr>
      <w:r>
        <w:rPr>
          <w:rFonts w:hint="eastAsia" w:ascii="仿宋" w:hAnsi="仿宋" w:eastAsia="仿宋" w:cs="仿宋"/>
          <w:b w:val="0"/>
          <w:bCs w:val="0"/>
          <w:color w:val="auto"/>
          <w:sz w:val="28"/>
          <w:szCs w:val="28"/>
          <w:lang w:eastAsia="zh-CN"/>
        </w:rPr>
        <w:t>竞买人</w:t>
      </w:r>
      <w:r>
        <w:rPr>
          <w:rFonts w:hint="eastAsia" w:ascii="仿宋" w:hAnsi="仿宋" w:eastAsia="仿宋" w:cs="仿宋"/>
          <w:b w:val="0"/>
          <w:bCs w:val="0"/>
          <w:color w:val="auto"/>
          <w:sz w:val="28"/>
          <w:szCs w:val="28"/>
        </w:rPr>
        <w:t>声明并承诺：本人已全面了解拍卖标的现状（包括瑕疵），认可本次拍卖会的全部要求，对所拍卖的标的无异议，并承诺按竞买协议及竞买须知要求办理各项事宜。如果违约，由委托方、拍卖公司按照《拍卖法》及有关法律规定办理，并承担违约责任。</w:t>
      </w:r>
    </w:p>
    <w:p>
      <w:pPr>
        <w:snapToGrid w:val="0"/>
        <w:spacing w:line="380" w:lineRule="exact"/>
        <w:ind w:firstLine="548" w:firstLineChars="196"/>
        <w:jc w:val="left"/>
        <w:rPr>
          <w:rStyle w:val="11"/>
          <w:rFonts w:hint="eastAsia" w:ascii="仿宋" w:hAnsi="仿宋" w:eastAsia="仿宋" w:cs="仿宋"/>
          <w:b w:val="0"/>
          <w:bCs w:val="0"/>
          <w:i w:val="0"/>
          <w:caps w:val="0"/>
          <w:color w:val="auto"/>
          <w:spacing w:val="0"/>
          <w:kern w:val="2"/>
          <w:sz w:val="28"/>
          <w:szCs w:val="28"/>
          <w:shd w:val="clear"/>
          <w:lang w:val="en-US" w:eastAsia="zh-CN" w:bidi="ar"/>
        </w:rPr>
      </w:pPr>
    </w:p>
    <w:p>
      <w:pPr>
        <w:snapToGrid w:val="0"/>
        <w:spacing w:line="380" w:lineRule="exact"/>
        <w:ind w:firstLine="548" w:firstLineChars="196"/>
        <w:jc w:val="left"/>
        <w:rPr>
          <w:rStyle w:val="11"/>
          <w:rFonts w:hint="eastAsia" w:ascii="仿宋" w:hAnsi="仿宋" w:eastAsia="仿宋" w:cs="仿宋"/>
          <w:b w:val="0"/>
          <w:bCs w:val="0"/>
          <w:i w:val="0"/>
          <w:caps w:val="0"/>
          <w:color w:val="auto"/>
          <w:spacing w:val="0"/>
          <w:kern w:val="2"/>
          <w:sz w:val="28"/>
          <w:szCs w:val="28"/>
          <w:shd w:val="clear"/>
          <w:lang w:val="en-US" w:eastAsia="zh-CN" w:bidi="ar"/>
        </w:rPr>
      </w:pPr>
      <w:r>
        <w:rPr>
          <w:rStyle w:val="11"/>
          <w:rFonts w:hint="eastAsia" w:ascii="仿宋" w:hAnsi="仿宋" w:eastAsia="仿宋" w:cs="仿宋"/>
          <w:b w:val="0"/>
          <w:bCs w:val="0"/>
          <w:i w:val="0"/>
          <w:caps w:val="0"/>
          <w:color w:val="auto"/>
          <w:spacing w:val="0"/>
          <w:kern w:val="2"/>
          <w:sz w:val="28"/>
          <w:szCs w:val="28"/>
          <w:shd w:val="clear"/>
          <w:lang w:val="en-US" w:eastAsia="zh-CN" w:bidi="ar"/>
        </w:rPr>
        <w:t>竞买人（盖章）：</w:t>
      </w:r>
    </w:p>
    <w:p>
      <w:pPr>
        <w:wordWrap/>
        <w:spacing w:line="380" w:lineRule="exact"/>
        <w:ind w:firstLine="560" w:firstLineChars="200"/>
        <w:jc w:val="left"/>
        <w:rPr>
          <w:rFonts w:hint="eastAsia" w:ascii="仿宋" w:hAnsi="仿宋" w:eastAsia="仿宋" w:cs="仿宋"/>
          <w:b w:val="0"/>
          <w:bCs w:val="0"/>
          <w:color w:val="000000"/>
          <w:sz w:val="28"/>
          <w:szCs w:val="28"/>
          <w:lang w:val="en-US" w:eastAsia="zh-CN"/>
        </w:rPr>
      </w:pPr>
      <w:r>
        <w:rPr>
          <w:rStyle w:val="11"/>
          <w:rFonts w:hint="eastAsia" w:ascii="仿宋" w:hAnsi="仿宋" w:eastAsia="仿宋" w:cs="仿宋"/>
          <w:b w:val="0"/>
          <w:bCs w:val="0"/>
          <w:i w:val="0"/>
          <w:caps w:val="0"/>
          <w:color w:val="auto"/>
          <w:spacing w:val="0"/>
          <w:kern w:val="2"/>
          <w:sz w:val="28"/>
          <w:szCs w:val="28"/>
          <w:shd w:val="clear"/>
          <w:lang w:val="en-US" w:eastAsia="zh-CN" w:bidi="ar"/>
        </w:rPr>
        <w:t>法定代表人：</w:t>
      </w:r>
      <w:r>
        <w:rPr>
          <w:rStyle w:val="11"/>
          <w:rFonts w:hint="eastAsia" w:ascii="仿宋" w:hAnsi="仿宋" w:eastAsia="仿宋" w:cs="仿宋"/>
          <w:b w:val="0"/>
          <w:bCs w:val="0"/>
          <w:i w:val="0"/>
          <w:caps w:val="0"/>
          <w:color w:val="auto"/>
          <w:spacing w:val="0"/>
          <w:kern w:val="2"/>
          <w:sz w:val="28"/>
          <w:szCs w:val="28"/>
          <w:shd w:val="clear"/>
          <w:lang w:val="en-US" w:eastAsia="zh-CN" w:bidi="ar"/>
        </w:rPr>
        <w:br w:type="textWrapping"/>
      </w:r>
      <w:r>
        <w:rPr>
          <w:rStyle w:val="11"/>
          <w:rFonts w:hint="eastAsia" w:ascii="仿宋" w:hAnsi="仿宋" w:eastAsia="仿宋" w:cs="仿宋"/>
          <w:b w:val="0"/>
          <w:bCs w:val="0"/>
          <w:i w:val="0"/>
          <w:caps w:val="0"/>
          <w:color w:val="auto"/>
          <w:spacing w:val="0"/>
          <w:kern w:val="2"/>
          <w:sz w:val="28"/>
          <w:szCs w:val="28"/>
          <w:shd w:val="clear"/>
          <w:lang w:val="en-US" w:eastAsia="zh-CN" w:bidi="ar"/>
        </w:rPr>
        <w:t xml:space="preserve">    或委托代理人（签名）：</w:t>
      </w:r>
      <w:r>
        <w:rPr>
          <w:rStyle w:val="13"/>
          <w:rFonts w:hint="eastAsia" w:ascii="宋体" w:hAnsi="宋体" w:eastAsia="宋体" w:cs="宋体"/>
          <w:b w:val="0"/>
          <w:bCs/>
          <w:i w:val="0"/>
          <w:caps w:val="0"/>
          <w:color w:val="333333"/>
          <w:spacing w:val="0"/>
          <w:kern w:val="0"/>
          <w:sz w:val="28"/>
          <w:szCs w:val="28"/>
          <w:shd w:val="clear" w:color="auto" w:fill="FFFFFF"/>
          <w:lang w:val="en-US" w:eastAsia="zh-CN" w:bidi="ar"/>
        </w:rPr>
        <w:t xml:space="preserve"> </w:t>
      </w:r>
      <w:r>
        <w:rPr>
          <w:rFonts w:hint="eastAsia" w:ascii="仿宋" w:hAnsi="仿宋" w:eastAsia="仿宋" w:cs="仿宋"/>
          <w:b w:val="0"/>
          <w:bCs w:val="0"/>
          <w:color w:val="000000"/>
          <w:sz w:val="28"/>
          <w:szCs w:val="28"/>
          <w:lang w:val="en-US" w:eastAsia="zh-CN"/>
        </w:rPr>
        <w:t xml:space="preserve"> </w:t>
      </w:r>
    </w:p>
    <w:p>
      <w:pPr>
        <w:wordWrap/>
        <w:spacing w:line="420" w:lineRule="exact"/>
        <w:ind w:firstLine="560" w:firstLineChars="200"/>
        <w:jc w:val="right"/>
        <w:rPr>
          <w:rFonts w:hint="eastAsia" w:ascii="仿宋" w:hAnsi="仿宋" w:eastAsia="仿宋" w:cs="仿宋"/>
          <w:b w:val="0"/>
          <w:bCs w:val="0"/>
          <w:color w:val="000000"/>
          <w:sz w:val="28"/>
          <w:szCs w:val="28"/>
        </w:rPr>
      </w:pPr>
    </w:p>
    <w:p>
      <w:pPr>
        <w:wordWrap/>
        <w:spacing w:line="420" w:lineRule="exact"/>
        <w:ind w:firstLine="560" w:firstLineChars="200"/>
        <w:jc w:val="right"/>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rPr>
        <w:t>光彩银星拍卖有限公司</w:t>
      </w:r>
      <w:r>
        <w:rPr>
          <w:rFonts w:hint="eastAsia" w:ascii="仿宋" w:hAnsi="仿宋" w:eastAsia="仿宋" w:cs="仿宋"/>
          <w:b w:val="0"/>
          <w:bCs w:val="0"/>
          <w:color w:val="000000"/>
          <w:sz w:val="28"/>
          <w:szCs w:val="28"/>
          <w:lang w:val="en-US" w:eastAsia="zh-CN"/>
        </w:rPr>
        <w:t xml:space="preserve">  </w:t>
      </w:r>
    </w:p>
    <w:p>
      <w:pPr>
        <w:spacing w:line="420" w:lineRule="exact"/>
        <w:ind w:firstLine="560" w:firstLineChars="200"/>
        <w:jc w:val="righ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lang w:val="en-US" w:eastAsia="zh-CN"/>
        </w:rPr>
        <w:t xml:space="preserve">                               2022年1月28日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22"/>
    <w:rsid w:val="000107E6"/>
    <w:rsid w:val="0005093E"/>
    <w:rsid w:val="00087F4D"/>
    <w:rsid w:val="000C1FB2"/>
    <w:rsid w:val="00156C84"/>
    <w:rsid w:val="001A10D8"/>
    <w:rsid w:val="00380600"/>
    <w:rsid w:val="00407E1B"/>
    <w:rsid w:val="00411964"/>
    <w:rsid w:val="00493FA1"/>
    <w:rsid w:val="004A7B13"/>
    <w:rsid w:val="00503251"/>
    <w:rsid w:val="00531492"/>
    <w:rsid w:val="005379A1"/>
    <w:rsid w:val="0059204E"/>
    <w:rsid w:val="005D45D0"/>
    <w:rsid w:val="00677725"/>
    <w:rsid w:val="00696159"/>
    <w:rsid w:val="006B3DF6"/>
    <w:rsid w:val="007745EF"/>
    <w:rsid w:val="00776E28"/>
    <w:rsid w:val="00972FCC"/>
    <w:rsid w:val="009E6445"/>
    <w:rsid w:val="00A1557D"/>
    <w:rsid w:val="00A15E89"/>
    <w:rsid w:val="00A602BA"/>
    <w:rsid w:val="00AB16F9"/>
    <w:rsid w:val="00AF5D9E"/>
    <w:rsid w:val="00BB656E"/>
    <w:rsid w:val="00BD078F"/>
    <w:rsid w:val="00C1405E"/>
    <w:rsid w:val="00C169DB"/>
    <w:rsid w:val="00D06D12"/>
    <w:rsid w:val="00D80BE3"/>
    <w:rsid w:val="00DB4569"/>
    <w:rsid w:val="00DF597A"/>
    <w:rsid w:val="00E07736"/>
    <w:rsid w:val="00E3263C"/>
    <w:rsid w:val="00E614E2"/>
    <w:rsid w:val="00EE4177"/>
    <w:rsid w:val="00F91415"/>
    <w:rsid w:val="00F970C3"/>
    <w:rsid w:val="00FB0511"/>
    <w:rsid w:val="00FE2755"/>
    <w:rsid w:val="01544BBF"/>
    <w:rsid w:val="01FB2984"/>
    <w:rsid w:val="025A1E52"/>
    <w:rsid w:val="0345226B"/>
    <w:rsid w:val="072B1C68"/>
    <w:rsid w:val="09033D17"/>
    <w:rsid w:val="096C0BCF"/>
    <w:rsid w:val="0A5C49B7"/>
    <w:rsid w:val="0B0805EE"/>
    <w:rsid w:val="0DAE34B2"/>
    <w:rsid w:val="0DB4363B"/>
    <w:rsid w:val="0E791BED"/>
    <w:rsid w:val="0F7335C5"/>
    <w:rsid w:val="0F995875"/>
    <w:rsid w:val="0FFD501F"/>
    <w:rsid w:val="10036A2C"/>
    <w:rsid w:val="10275A60"/>
    <w:rsid w:val="10AC78D6"/>
    <w:rsid w:val="10D43807"/>
    <w:rsid w:val="119C6660"/>
    <w:rsid w:val="1379779A"/>
    <w:rsid w:val="16AA59C8"/>
    <w:rsid w:val="17580747"/>
    <w:rsid w:val="186453D5"/>
    <w:rsid w:val="1919739F"/>
    <w:rsid w:val="193E71E5"/>
    <w:rsid w:val="1C877397"/>
    <w:rsid w:val="1DBC563E"/>
    <w:rsid w:val="1EE40DEF"/>
    <w:rsid w:val="1EE616D1"/>
    <w:rsid w:val="1F5374CA"/>
    <w:rsid w:val="1F8220EA"/>
    <w:rsid w:val="21917C3D"/>
    <w:rsid w:val="21ED4D71"/>
    <w:rsid w:val="21EE796B"/>
    <w:rsid w:val="22102F4D"/>
    <w:rsid w:val="228864D4"/>
    <w:rsid w:val="24575584"/>
    <w:rsid w:val="24E03205"/>
    <w:rsid w:val="25EA6DB5"/>
    <w:rsid w:val="26767A40"/>
    <w:rsid w:val="26F61BE2"/>
    <w:rsid w:val="28A511BD"/>
    <w:rsid w:val="29567448"/>
    <w:rsid w:val="2E624EB8"/>
    <w:rsid w:val="3031111E"/>
    <w:rsid w:val="3256430F"/>
    <w:rsid w:val="32861C19"/>
    <w:rsid w:val="357A3A25"/>
    <w:rsid w:val="3581054D"/>
    <w:rsid w:val="3723716F"/>
    <w:rsid w:val="3A3A28D6"/>
    <w:rsid w:val="3A661625"/>
    <w:rsid w:val="3BDE49AE"/>
    <w:rsid w:val="3DEC0798"/>
    <w:rsid w:val="40182A2C"/>
    <w:rsid w:val="411421CE"/>
    <w:rsid w:val="42737B4D"/>
    <w:rsid w:val="44BE2106"/>
    <w:rsid w:val="457863AB"/>
    <w:rsid w:val="465D2D4B"/>
    <w:rsid w:val="48853BDF"/>
    <w:rsid w:val="489278FC"/>
    <w:rsid w:val="4A7A41D8"/>
    <w:rsid w:val="4A8F1DB8"/>
    <w:rsid w:val="4B3451EA"/>
    <w:rsid w:val="4B50378B"/>
    <w:rsid w:val="4BB82E47"/>
    <w:rsid w:val="4BE44644"/>
    <w:rsid w:val="4D2571AF"/>
    <w:rsid w:val="4DA834EA"/>
    <w:rsid w:val="4F390BF3"/>
    <w:rsid w:val="503D3E3A"/>
    <w:rsid w:val="52E26E7D"/>
    <w:rsid w:val="54FF48AC"/>
    <w:rsid w:val="571F59CB"/>
    <w:rsid w:val="57743820"/>
    <w:rsid w:val="5A0B52BB"/>
    <w:rsid w:val="5A5B1C29"/>
    <w:rsid w:val="5B1478F6"/>
    <w:rsid w:val="5B4925EC"/>
    <w:rsid w:val="5B8E1592"/>
    <w:rsid w:val="5D5E1EA6"/>
    <w:rsid w:val="5E086704"/>
    <w:rsid w:val="5E0F7E5F"/>
    <w:rsid w:val="5E6758CB"/>
    <w:rsid w:val="5F390517"/>
    <w:rsid w:val="62DD20EE"/>
    <w:rsid w:val="637A7EFC"/>
    <w:rsid w:val="645E0C0F"/>
    <w:rsid w:val="647A1AB5"/>
    <w:rsid w:val="64B97B44"/>
    <w:rsid w:val="65BB3132"/>
    <w:rsid w:val="66720FE0"/>
    <w:rsid w:val="6731269B"/>
    <w:rsid w:val="675039C2"/>
    <w:rsid w:val="68843520"/>
    <w:rsid w:val="695C3EE5"/>
    <w:rsid w:val="69FC0C75"/>
    <w:rsid w:val="6A621FA1"/>
    <w:rsid w:val="6B1B6791"/>
    <w:rsid w:val="6B524C0D"/>
    <w:rsid w:val="6BBB1A5F"/>
    <w:rsid w:val="6C59362F"/>
    <w:rsid w:val="6D4F101F"/>
    <w:rsid w:val="6F730B3C"/>
    <w:rsid w:val="7059438F"/>
    <w:rsid w:val="70F43792"/>
    <w:rsid w:val="714A1072"/>
    <w:rsid w:val="7181238A"/>
    <w:rsid w:val="71FB6A51"/>
    <w:rsid w:val="74177292"/>
    <w:rsid w:val="74F3142E"/>
    <w:rsid w:val="76C97E95"/>
    <w:rsid w:val="771649AA"/>
    <w:rsid w:val="77612958"/>
    <w:rsid w:val="78D33F1E"/>
    <w:rsid w:val="7B2A1A27"/>
    <w:rsid w:val="7CF8643D"/>
    <w:rsid w:val="7D852E8A"/>
    <w:rsid w:val="7D9B437B"/>
    <w:rsid w:val="7E3C66ED"/>
    <w:rsid w:val="7F802513"/>
    <w:rsid w:val="7FAD67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link w:val="12"/>
    <w:qFormat/>
    <w:uiPriority w:val="0"/>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Body Text"/>
    <w:basedOn w:val="1"/>
    <w:qFormat/>
    <w:uiPriority w:val="0"/>
    <w:rPr>
      <w:rFonts w:eastAsia="仿宋_GB2312"/>
      <w:sz w:val="32"/>
    </w:rPr>
  </w:style>
  <w:style w:type="paragraph" w:styleId="4">
    <w:name w:val="Body Text Indent"/>
    <w:basedOn w:val="1"/>
    <w:qFormat/>
    <w:uiPriority w:val="0"/>
    <w:pPr>
      <w:spacing w:after="120" w:afterLines="0"/>
      <w:ind w:left="420" w:leftChars="200"/>
    </w:pPr>
  </w:style>
  <w:style w:type="paragraph" w:styleId="5">
    <w:name w:val="Date"/>
    <w:basedOn w:val="1"/>
    <w:next w:val="1"/>
    <w:link w:val="18"/>
    <w:qFormat/>
    <w:uiPriority w:val="0"/>
    <w:pPr>
      <w:ind w:left="100" w:leftChars="2500"/>
    </w:pPr>
    <w:rPr>
      <w:kern w:val="2"/>
      <w:sz w:val="21"/>
      <w:szCs w:val="24"/>
    </w:rPr>
  </w:style>
  <w:style w:type="paragraph" w:styleId="6">
    <w:name w:val="Body Text Indent 2"/>
    <w:basedOn w:val="1"/>
    <w:qFormat/>
    <w:uiPriority w:val="0"/>
    <w:pPr>
      <w:ind w:firstLine="642" w:firstLineChars="200"/>
    </w:pPr>
    <w:rPr>
      <w:rFonts w:eastAsia="仿宋_GB2312"/>
      <w:sz w:val="32"/>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kern w:val="2"/>
      <w:sz w:val="18"/>
      <w:szCs w:val="18"/>
    </w:rPr>
  </w:style>
  <w:style w:type="paragraph" w:customStyle="1" w:styleId="12">
    <w:name w:val="_Style 7"/>
    <w:basedOn w:val="1"/>
    <w:link w:val="11"/>
    <w:qFormat/>
    <w:uiPriority w:val="0"/>
  </w:style>
  <w:style w:type="character" w:styleId="13">
    <w:name w:val="Strong"/>
    <w:basedOn w:val="11"/>
    <w:qFormat/>
    <w:uiPriority w:val="0"/>
    <w:rPr>
      <w:b/>
    </w:rPr>
  </w:style>
  <w:style w:type="character" w:styleId="14">
    <w:name w:val="page number"/>
    <w:basedOn w:val="11"/>
    <w:qFormat/>
    <w:uiPriority w:val="0"/>
  </w:style>
  <w:style w:type="paragraph" w:customStyle="1" w:styleId="15">
    <w:name w:val="Char"/>
    <w:basedOn w:val="1"/>
    <w:qFormat/>
    <w:uiPriority w:val="0"/>
  </w:style>
  <w:style w:type="paragraph" w:customStyle="1" w:styleId="16">
    <w:name w:val="默认段落字体 Para Char Char Char Char Char Char Char"/>
    <w:basedOn w:val="1"/>
    <w:qFormat/>
    <w:uiPriority w:val="0"/>
  </w:style>
  <w:style w:type="paragraph" w:customStyle="1" w:styleId="17">
    <w:name w:val=" Char"/>
    <w:basedOn w:val="1"/>
    <w:qFormat/>
    <w:uiPriority w:val="0"/>
  </w:style>
  <w:style w:type="character" w:customStyle="1" w:styleId="18">
    <w:name w:val="日期 Char"/>
    <w:link w:val="5"/>
    <w:qFormat/>
    <w:uiPriority w:val="0"/>
    <w:rPr>
      <w:kern w:val="2"/>
      <w:sz w:val="21"/>
      <w:szCs w:val="24"/>
    </w:rPr>
  </w:style>
  <w:style w:type="character" w:customStyle="1" w:styleId="19">
    <w:name w:val="页眉 Char Char"/>
    <w:link w:val="9"/>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GWAMCC</Company>
  <Pages>4</Pages>
  <Words>346</Words>
  <Characters>1978</Characters>
  <Lines>16</Lines>
  <Paragraphs>4</Paragraphs>
  <TotalTime>0</TotalTime>
  <ScaleCrop>false</ScaleCrop>
  <LinksUpToDate>false</LinksUpToDate>
  <CharactersWithSpaces>2320</CharactersWithSpaces>
  <Application>WPS Office_11.1.0.11360_F1E327BC-269C-435d-A152-05C5408002CA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2009-08-21T00:09:00Z</dcterms:created>
  <dc:creator>陈炜(总公司)</dc:creator>
  <cp:lastModifiedBy>洪力网张海峰18678653936</cp:lastModifiedBy>
  <cp:lastPrinted>2021-09-09T08:31:00Z</cp:lastPrinted>
  <dcterms:modified xsi:type="dcterms:W3CDTF">2022-01-28T23:05:53Z</dcterms:modified>
  <dc:title>附件1：</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2052-11.1.0.11360</vt:lpwstr>
  </property>
  <property fmtid="{D5CDD505-2E9C-101B-9397-08002B2CF9AE}" pid="3" name="ICV">
    <vt:lpwstr>A88F7E26F94E4E0FA3B87EF23177C425</vt:lpwstr>
  </property>
</Properties>
</file>