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楷体" w:hAnsi="楷体" w:eastAsia="楷体"/>
          <w:b/>
          <w:color w:val="000000" w:themeColor="text1"/>
          <w:sz w:val="24"/>
          <w14:textFill>
            <w14:solidFill>
              <w14:schemeClr w14:val="tx1"/>
            </w14:solidFill>
          </w14:textFill>
        </w:rPr>
      </w:pPr>
    </w:p>
    <w:p>
      <w:pPr>
        <w:spacing w:line="360" w:lineRule="auto"/>
        <w:jc w:val="center"/>
        <w:outlineLvl w:val="0"/>
        <w:rPr>
          <w:rFonts w:ascii="楷体" w:hAnsi="楷体" w:eastAsia="楷体"/>
          <w:b/>
          <w:color w:val="000000" w:themeColor="text1"/>
          <w:sz w:val="24"/>
          <w14:textFill>
            <w14:solidFill>
              <w14:schemeClr w14:val="tx1"/>
            </w14:solidFill>
          </w14:textFill>
        </w:rPr>
      </w:pPr>
    </w:p>
    <w:p>
      <w:pPr>
        <w:spacing w:line="360" w:lineRule="auto"/>
        <w:jc w:val="center"/>
        <w:outlineLvl w:val="0"/>
        <w:rPr>
          <w:rFonts w:ascii="楷体" w:hAnsi="楷体" w:eastAsia="楷体"/>
          <w:b/>
          <w:color w:val="000000" w:themeColor="text1"/>
          <w:sz w:val="24"/>
          <w14:textFill>
            <w14:solidFill>
              <w14:schemeClr w14:val="tx1"/>
            </w14:solidFill>
          </w14:textFill>
        </w:rPr>
      </w:pPr>
    </w:p>
    <w:p>
      <w:pPr>
        <w:spacing w:line="360" w:lineRule="auto"/>
        <w:jc w:val="center"/>
        <w:outlineLvl w:val="0"/>
        <w:rPr>
          <w:rFonts w:ascii="楷体" w:hAnsi="楷体" w:eastAsia="楷体"/>
          <w:b/>
          <w:color w:val="000000" w:themeColor="text1"/>
          <w:sz w:val="24"/>
          <w14:textFill>
            <w14:solidFill>
              <w14:schemeClr w14:val="tx1"/>
            </w14:solidFill>
          </w14:textFill>
        </w:rPr>
      </w:pPr>
      <w:bookmarkStart w:id="0" w:name="_GoBack"/>
      <w:bookmarkEnd w:id="0"/>
    </w:p>
    <w:p>
      <w:pPr>
        <w:spacing w:line="360" w:lineRule="auto"/>
        <w:jc w:val="center"/>
        <w:outlineLvl w:val="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委托拍卖协议</w:t>
      </w:r>
      <w:r>
        <w:rPr>
          <w:rFonts w:ascii="楷体" w:hAnsi="楷体" w:eastAsia="楷体"/>
          <w:b/>
          <w:color w:val="000000" w:themeColor="text1"/>
          <w:sz w:val="24"/>
          <w14:textFill>
            <w14:solidFill>
              <w14:schemeClr w14:val="tx1"/>
            </w14:solidFill>
          </w14:textFill>
        </w:rPr>
        <w:t>附件清单</w:t>
      </w:r>
    </w:p>
    <w:p>
      <w:pPr>
        <w:spacing w:line="360" w:lineRule="auto"/>
        <w:jc w:val="center"/>
        <w:outlineLvl w:val="0"/>
        <w:rPr>
          <w:rFonts w:ascii="楷体" w:hAnsi="楷体" w:eastAsia="楷体"/>
          <w:b/>
          <w:color w:val="000000" w:themeColor="text1"/>
          <w:sz w:val="24"/>
          <w14:textFill>
            <w14:solidFill>
              <w14:schemeClr w14:val="tx1"/>
            </w14:solidFill>
          </w14:textFill>
        </w:rPr>
      </w:pPr>
    </w:p>
    <w:p>
      <w:pPr>
        <w:tabs>
          <w:tab w:val="left" w:pos="8280"/>
        </w:tabs>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附件一：</w:t>
      </w:r>
      <w:r>
        <w:rPr>
          <w:rFonts w:hint="eastAsia" w:ascii="楷体" w:hAnsi="楷体" w:eastAsia="楷体"/>
          <w:b/>
          <w:color w:val="000000" w:themeColor="text1"/>
          <w:sz w:val="24"/>
          <w14:textFill>
            <w14:solidFill>
              <w14:schemeClr w14:val="tx1"/>
            </w14:solidFill>
          </w14:textFill>
        </w:rPr>
        <w:t>拍卖债权明细</w:t>
      </w:r>
    </w:p>
    <w:p>
      <w:pPr>
        <w:tabs>
          <w:tab w:val="left" w:pos="8280"/>
        </w:tabs>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附件二：</w:t>
      </w:r>
      <w:r>
        <w:rPr>
          <w:rFonts w:hint="eastAsia" w:ascii="楷体" w:hAnsi="楷体" w:eastAsia="楷体"/>
          <w:b/>
          <w:color w:val="000000" w:themeColor="text1"/>
          <w:sz w:val="24"/>
          <w14:textFill>
            <w14:solidFill>
              <w14:schemeClr w14:val="tx1"/>
            </w14:solidFill>
          </w14:textFill>
        </w:rPr>
        <w:t>拍卖债权的权属文件</w:t>
      </w:r>
    </w:p>
    <w:p>
      <w:pPr>
        <w:tabs>
          <w:tab w:val="left" w:pos="8280"/>
        </w:tabs>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附件三：</w:t>
      </w:r>
      <w:r>
        <w:rPr>
          <w:rFonts w:hint="eastAsia" w:ascii="楷体" w:hAnsi="楷体" w:eastAsia="楷体"/>
          <w:b/>
          <w:color w:val="000000" w:themeColor="text1"/>
          <w:sz w:val="24"/>
          <w14:textFill>
            <w14:solidFill>
              <w14:schemeClr w14:val="tx1"/>
            </w14:solidFill>
          </w14:textFill>
        </w:rPr>
        <w:t>拍卖债权的瑕疵披露</w:t>
      </w:r>
    </w:p>
    <w:p>
      <w:pPr>
        <w:tabs>
          <w:tab w:val="left" w:pos="8280"/>
        </w:tabs>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附件四：</w:t>
      </w:r>
      <w:r>
        <w:rPr>
          <w:rFonts w:ascii="楷体" w:hAnsi="楷体" w:eastAsia="楷体"/>
          <w:b/>
          <w:color w:val="000000" w:themeColor="text1"/>
          <w:sz w:val="24"/>
          <w14:textFill>
            <w14:solidFill>
              <w14:schemeClr w14:val="tx1"/>
            </w14:solidFill>
          </w14:textFill>
        </w:rPr>
        <w:t>《债权转让</w:t>
      </w:r>
      <w:r>
        <w:rPr>
          <w:rFonts w:hint="eastAsia" w:ascii="楷体" w:hAnsi="楷体" w:eastAsia="楷体"/>
          <w:b/>
          <w:color w:val="000000" w:themeColor="text1"/>
          <w:sz w:val="24"/>
          <w14:textFill>
            <w14:solidFill>
              <w14:schemeClr w14:val="tx1"/>
            </w14:solidFill>
          </w14:textFill>
        </w:rPr>
        <w:t>协议</w:t>
      </w:r>
      <w:r>
        <w:rPr>
          <w:rFonts w:ascii="楷体" w:hAnsi="楷体" w:eastAsia="楷体"/>
          <w:b/>
          <w:color w:val="000000" w:themeColor="text1"/>
          <w:sz w:val="24"/>
          <w14:textFill>
            <w14:solidFill>
              <w14:schemeClr w14:val="tx1"/>
            </w14:solidFill>
          </w14:textFill>
        </w:rPr>
        <w:t>》</w:t>
      </w:r>
    </w:p>
    <w:p>
      <w:pPr>
        <w:tabs>
          <w:tab w:val="left" w:pos="8280"/>
        </w:tabs>
        <w:adjustRightInd w:val="0"/>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附件五：拍卖成交确认书</w:t>
      </w:r>
    </w:p>
    <w:p>
      <w:pPr>
        <w:tabs>
          <w:tab w:val="left" w:pos="8280"/>
        </w:tabs>
        <w:adjustRightInd w:val="0"/>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附件六：保密承诺函</w:t>
      </w:r>
    </w:p>
    <w:p>
      <w:pPr>
        <w:tabs>
          <w:tab w:val="left" w:pos="8280"/>
        </w:tabs>
        <w:adjustRightInd w:val="0"/>
        <w:snapToGrid w:val="0"/>
        <w:spacing w:line="360" w:lineRule="auto"/>
        <w:ind w:firstLine="1446" w:firstLineChars="600"/>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附件七：竞买人参加竞买承诺书</w:t>
      </w:r>
    </w:p>
    <w:p>
      <w:pPr>
        <w:rPr>
          <w:rFonts w:ascii="楷体" w:hAnsi="楷体" w:eastAsia="楷体"/>
          <w:color w:val="000000" w:themeColor="text1"/>
          <w14:textFill>
            <w14:solidFill>
              <w14:schemeClr w14:val="tx1"/>
            </w14:solidFill>
          </w14:textFill>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jc w:val="center"/>
        <w:rPr>
          <w:rFonts w:ascii="仿宋_GB2312" w:eastAsia="仿宋_GB2312"/>
          <w:b/>
          <w:color w:val="000000" w:themeColor="text1"/>
          <w:kern w:val="44"/>
          <w:sz w:val="24"/>
          <w14:textFill>
            <w14:solidFill>
              <w14:schemeClr w14:val="tx1"/>
            </w14:solidFill>
          </w14:textFill>
        </w:rPr>
      </w:pPr>
      <w:r>
        <w:rPr>
          <w:rFonts w:hint="eastAsia" w:ascii="仿宋_GB2312" w:eastAsia="仿宋_GB2312"/>
          <w:b/>
          <w:color w:val="000000" w:themeColor="text1"/>
          <w:kern w:val="44"/>
          <w:sz w:val="24"/>
          <w14:textFill>
            <w14:solidFill>
              <w14:schemeClr w14:val="tx1"/>
            </w14:solidFill>
          </w14:textFill>
        </w:rPr>
        <w:t>附件一：拍卖债权明细表</w:t>
      </w:r>
    </w:p>
    <w:p>
      <w:pPr>
        <w:jc w:val="right"/>
        <w:rPr>
          <w:rFonts w:eastAsia="仿宋_GB2312"/>
          <w:color w:val="000000" w:themeColor="text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单位：人民币，元</w:t>
      </w:r>
    </w:p>
    <w:tbl>
      <w:tblPr>
        <w:tblStyle w:val="15"/>
        <w:tblW w:w="13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3"/>
        <w:gridCol w:w="1357"/>
        <w:gridCol w:w="1500"/>
        <w:gridCol w:w="1395"/>
        <w:gridCol w:w="975"/>
        <w:gridCol w:w="1500"/>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43"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357"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主债务人名称</w:t>
            </w:r>
          </w:p>
        </w:tc>
        <w:tc>
          <w:tcPr>
            <w:tcW w:w="1500"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债权本金</w:t>
            </w:r>
          </w:p>
        </w:tc>
        <w:tc>
          <w:tcPr>
            <w:tcW w:w="139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利息</w:t>
            </w:r>
          </w:p>
        </w:tc>
        <w:tc>
          <w:tcPr>
            <w:tcW w:w="975" w:type="dxa"/>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其他</w:t>
            </w:r>
            <w:r>
              <w:rPr>
                <w:rFonts w:hint="eastAsia" w:ascii="仿宋" w:hAnsi="仿宋" w:eastAsia="仿宋" w:cs="仿宋"/>
                <w:b/>
                <w:color w:val="000000"/>
                <w:kern w:val="0"/>
                <w:szCs w:val="21"/>
              </w:rPr>
              <w:br w:type="textWrapping"/>
            </w:r>
            <w:r>
              <w:rPr>
                <w:rFonts w:hint="eastAsia" w:ascii="仿宋" w:hAnsi="仿宋" w:eastAsia="仿宋" w:cs="仿宋"/>
                <w:b/>
                <w:color w:val="000000"/>
                <w:kern w:val="0"/>
                <w:szCs w:val="21"/>
              </w:rPr>
              <w:t>费用</w:t>
            </w:r>
          </w:p>
        </w:tc>
        <w:tc>
          <w:tcPr>
            <w:tcW w:w="1500" w:type="dxa"/>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债权合计</w:t>
            </w:r>
          </w:p>
        </w:tc>
        <w:tc>
          <w:tcPr>
            <w:tcW w:w="6918"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担保人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34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357"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中海海洋科技股份有限公司</w:t>
            </w:r>
          </w:p>
        </w:tc>
        <w:tc>
          <w:tcPr>
            <w:tcW w:w="1500"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39,848,137.52</w:t>
            </w:r>
          </w:p>
        </w:tc>
        <w:tc>
          <w:tcPr>
            <w:tcW w:w="139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9,356,997.06</w:t>
            </w:r>
          </w:p>
        </w:tc>
        <w:tc>
          <w:tcPr>
            <w:tcW w:w="97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t>
            </w:r>
          </w:p>
        </w:tc>
        <w:tc>
          <w:tcPr>
            <w:tcW w:w="1500"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themeColor="text1"/>
                <w:szCs w:val="21"/>
                <w14:textFill>
                  <w14:solidFill>
                    <w14:schemeClr w14:val="tx1"/>
                  </w14:solidFill>
                </w14:textFill>
              </w:rPr>
              <w:t>49,205,134.58</w:t>
            </w:r>
          </w:p>
        </w:tc>
        <w:tc>
          <w:tcPr>
            <w:tcW w:w="6918" w:type="dxa"/>
            <w:shd w:val="clear" w:color="auto" w:fill="auto"/>
            <w:tcMar>
              <w:top w:w="15" w:type="dxa"/>
              <w:left w:w="15" w:type="dxa"/>
              <w:right w:w="15" w:type="dxa"/>
            </w:tcMar>
            <w:vAlign w:val="center"/>
          </w:tcPr>
          <w:p>
            <w:pPr>
              <w:widowControl/>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中海海洋（荣成）健康产业有限公司、中海海洋（青岛）肽谷产业园有限公司、中海海洋科技荣成有限公司、逯良忠、寻亚南提供保证担保，中海海洋科技股份有限公司提供抵押担保。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34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p>
        </w:tc>
        <w:tc>
          <w:tcPr>
            <w:tcW w:w="1357"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合  计</w:t>
            </w:r>
          </w:p>
        </w:tc>
        <w:tc>
          <w:tcPr>
            <w:tcW w:w="1500"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39,848,137.52</w:t>
            </w:r>
          </w:p>
        </w:tc>
        <w:tc>
          <w:tcPr>
            <w:tcW w:w="139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9,356,997.06</w:t>
            </w:r>
          </w:p>
        </w:tc>
        <w:tc>
          <w:tcPr>
            <w:tcW w:w="97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t>
            </w:r>
          </w:p>
        </w:tc>
        <w:tc>
          <w:tcPr>
            <w:tcW w:w="1500"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49,205,134.58</w:t>
            </w:r>
          </w:p>
        </w:tc>
        <w:tc>
          <w:tcPr>
            <w:tcW w:w="6918" w:type="dxa"/>
            <w:shd w:val="clear" w:color="auto" w:fill="auto"/>
            <w:tcMar>
              <w:top w:w="15" w:type="dxa"/>
              <w:left w:w="15" w:type="dxa"/>
              <w:right w:w="15" w:type="dxa"/>
            </w:tcMar>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bl>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注：债权数额最终以贷款资料载明或司法文书确认的为准</w:t>
      </w:r>
    </w:p>
    <w:p>
      <w:pPr>
        <w:jc w:val="center"/>
        <w:rPr>
          <w:rFonts w:ascii="仿宋_GB2312" w:eastAsia="仿宋_GB2312"/>
          <w:b/>
          <w:color w:val="000000" w:themeColor="text1"/>
          <w:sz w:val="24"/>
          <w14:textFill>
            <w14:solidFill>
              <w14:schemeClr w14:val="tx1"/>
            </w14:solidFill>
          </w14:textFill>
        </w:rPr>
      </w:pPr>
    </w:p>
    <w:p>
      <w:pPr>
        <w:jc w:val="center"/>
        <w:rPr>
          <w:rFonts w:ascii="仿宋_GB2312" w:eastAsia="仿宋_GB2312"/>
          <w:b/>
          <w:color w:val="000000" w:themeColor="text1"/>
          <w:sz w:val="24"/>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附件二：拍卖债权权属文件清单</w:t>
      </w:r>
    </w:p>
    <w:p>
      <w:pPr>
        <w:jc w:val="center"/>
        <w:rPr>
          <w:rFonts w:ascii="仿宋_GB2312" w:eastAsia="仿宋_GB2312"/>
          <w:b/>
          <w:color w:val="000000" w:themeColor="text1"/>
          <w:sz w:val="24"/>
          <w14:textFill>
            <w14:solidFill>
              <w14:schemeClr w14:val="tx1"/>
            </w14:solidFill>
          </w14:textFill>
        </w:rPr>
      </w:pPr>
    </w:p>
    <w:p>
      <w:pPr>
        <w:pStyle w:val="31"/>
        <w:spacing w:after="156" w:afterLines="50"/>
        <w:ind w:firstLine="480"/>
        <w:rPr>
          <w:rFonts w:ascii="仿宋_GB2312" w:eastAsia="仿宋_GB2312" w:cs="仿宋_GB2312"/>
          <w:bCs/>
          <w:color w:val="000000" w:themeColor="text1"/>
          <w:kern w:val="44"/>
          <w:sz w:val="24"/>
          <w14:textFill>
            <w14:solidFill>
              <w14:schemeClr w14:val="tx1"/>
            </w14:solidFill>
          </w14:textFill>
        </w:rPr>
      </w:pPr>
      <w:r>
        <w:rPr>
          <w:rFonts w:hint="eastAsia" w:ascii="仿宋" w:hAnsi="仿宋" w:eastAsia="仿宋" w:cs="仿宋"/>
          <w:bCs/>
          <w:color w:val="000000" w:themeColor="text1"/>
          <w:kern w:val="44"/>
          <w:sz w:val="24"/>
          <w14:textFill>
            <w14:solidFill>
              <w14:schemeClr w14:val="tx1"/>
            </w14:solidFill>
          </w14:textFill>
        </w:rPr>
        <w:t>中海海洋科技股份有限公司债权证明文件清单</w:t>
      </w:r>
    </w:p>
    <w:tbl>
      <w:tblPr>
        <w:tblStyle w:val="15"/>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5498"/>
        <w:gridCol w:w="112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85" w:type="dxa"/>
            <w:tcBorders>
              <w:tl2br w:val="nil"/>
              <w:tr2bl w:val="nil"/>
            </w:tcBorders>
            <w:shd w:val="clear" w:color="auto" w:fill="auto"/>
            <w:vAlign w:val="center"/>
          </w:tcPr>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序号</w:t>
            </w:r>
          </w:p>
        </w:tc>
        <w:tc>
          <w:tcPr>
            <w:tcW w:w="5498" w:type="dxa"/>
            <w:tcBorders>
              <w:tl2br w:val="nil"/>
              <w:tr2bl w:val="nil"/>
            </w:tcBorders>
            <w:shd w:val="clear" w:color="auto" w:fill="auto"/>
            <w:vAlign w:val="center"/>
          </w:tcPr>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重要凭证名称及编号或日期</w:t>
            </w:r>
          </w:p>
        </w:tc>
        <w:tc>
          <w:tcPr>
            <w:tcW w:w="1127" w:type="dxa"/>
            <w:tcBorders>
              <w:tl2br w:val="nil"/>
              <w:tr2bl w:val="nil"/>
            </w:tcBorders>
            <w:shd w:val="clear" w:color="auto" w:fill="auto"/>
            <w:vAlign w:val="center"/>
          </w:tcPr>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原件</w:t>
            </w:r>
          </w:p>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份数</w:t>
            </w:r>
          </w:p>
        </w:tc>
        <w:tc>
          <w:tcPr>
            <w:tcW w:w="1350" w:type="dxa"/>
            <w:tcBorders>
              <w:tl2br w:val="nil"/>
              <w:tr2bl w:val="nil"/>
            </w:tcBorders>
            <w:shd w:val="clear" w:color="auto" w:fill="auto"/>
            <w:vAlign w:val="center"/>
          </w:tcPr>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复印件</w:t>
            </w:r>
          </w:p>
          <w:p>
            <w:pPr>
              <w:widowControl/>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1</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借款合同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20930000）浙商银借字（2019）第07015号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2</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借款合同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20930000）浙商银借字（2019）第07016号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3</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借款合同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20930000）浙商银借字（2019）第07017号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4</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借款合同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20930000）浙商银借字（2019）第07018号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5</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借款凭证</w:t>
            </w:r>
            <w:r>
              <w:rPr>
                <w:rFonts w:ascii="仿宋" w:hAnsi="仿宋" w:eastAsia="仿宋" w:cs="仿宋"/>
                <w:color w:val="000000"/>
                <w:kern w:val="0"/>
                <w:szCs w:val="21"/>
                <w:lang w:bidi="ar"/>
              </w:rPr>
              <w:t xml:space="preserve">  BC20191009003481至BC20191009003556</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4</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6</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最高额保证合同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451079）浙商银高保字（2018）第00010号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7</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最高额保证合同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451079）浙商银高保字（2018）第00011号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8</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最高额抵押合同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451079）浙商银高抵字（2019）第00001号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9</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kern w:val="0"/>
                <w:szCs w:val="21"/>
                <w:lang w:bidi="ar"/>
              </w:rPr>
              <w:t>最高额抵押合同</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451079）浙商银高抵字（2019）第00002号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10</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kern w:val="0"/>
                <w:szCs w:val="21"/>
                <w:lang w:bidi="ar"/>
              </w:rPr>
              <w:t>不动产登记证明</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鲁（</w:t>
            </w:r>
            <w:r>
              <w:rPr>
                <w:rFonts w:ascii="仿宋" w:hAnsi="仿宋" w:eastAsia="仿宋" w:cs="仿宋"/>
                <w:color w:val="000000"/>
                <w:kern w:val="0"/>
                <w:szCs w:val="21"/>
                <w:lang w:bidi="ar"/>
              </w:rPr>
              <w:t>2019）青岛市城阳区不动产证明第0014866号</w:t>
            </w:r>
          </w:p>
        </w:tc>
        <w:tc>
          <w:tcPr>
            <w:tcW w:w="1127"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14:textFill>
                  <w14:solidFill>
                    <w14:schemeClr w14:val="tx1"/>
                  </w14:solidFill>
                </w14:textFill>
              </w:rPr>
            </w:pPr>
            <w:r>
              <w:rPr>
                <w:rFonts w:ascii="仿宋" w:hAnsi="仿宋" w:eastAsia="仿宋" w:cs="仿宋"/>
                <w:color w:val="000000"/>
                <w:kern w:val="0"/>
                <w:szCs w:val="21"/>
                <w:lang w:bidi="ar"/>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11</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动产抵押登记书</w:t>
            </w:r>
            <w:r>
              <w:rPr>
                <w:rFonts w:ascii="仿宋" w:hAnsi="仿宋" w:eastAsia="仿宋" w:cs="仿宋"/>
                <w:color w:val="000000"/>
                <w:kern w:val="0"/>
                <w:szCs w:val="21"/>
                <w:lang w:bidi="ar"/>
              </w:rPr>
              <w:t xml:space="preserve">  37022019006761</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12</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董事会、股东会决议</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13</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送达地址确认书</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14</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民事起诉状</w:t>
            </w:r>
            <w:r>
              <w:rPr>
                <w:rFonts w:ascii="仿宋" w:hAnsi="仿宋" w:eastAsia="仿宋" w:cs="仿宋"/>
                <w:color w:val="000000"/>
                <w:kern w:val="0"/>
                <w:szCs w:val="21"/>
                <w:lang w:bidi="ar"/>
              </w:rPr>
              <w:t xml:space="preserve">  2021年10月7日</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15</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受理通知书、案件受理费票据、传票</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16</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保全申请书</w:t>
            </w:r>
            <w:r>
              <w:rPr>
                <w:rFonts w:ascii="仿宋" w:hAnsi="仿宋" w:eastAsia="仿宋" w:cs="仿宋"/>
                <w:color w:val="000000"/>
                <w:kern w:val="0"/>
                <w:szCs w:val="21"/>
                <w:lang w:bidi="ar"/>
              </w:rPr>
              <w:t xml:space="preserve">  2021年10月7日</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17</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民事裁定书</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2021）鲁0102民初12998号</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18</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协助执行通知书</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19</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财产控制反馈信息表</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20</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欠息统计表</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5" w:type="dxa"/>
            <w:tcBorders>
              <w:tl2br w:val="nil"/>
              <w:tr2bl w:val="nil"/>
            </w:tcBorders>
            <w:shd w:val="clear" w:color="auto" w:fill="auto"/>
            <w:vAlign w:val="center"/>
          </w:tcPr>
          <w:p>
            <w:pPr>
              <w:widowControl/>
              <w:jc w:val="center"/>
              <w:textAlignment w:val="center"/>
              <w:rPr>
                <w:rFonts w:ascii="仿宋" w:hAnsi="仿宋" w:eastAsia="仿宋" w:cs="仿宋"/>
                <w:color w:val="000000" w:themeColor="text1"/>
                <w:kern w:val="0"/>
                <w:szCs w:val="21"/>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21</w:t>
            </w:r>
          </w:p>
        </w:tc>
        <w:tc>
          <w:tcPr>
            <w:tcW w:w="5498" w:type="dxa"/>
            <w:tcBorders>
              <w:tl2br w:val="nil"/>
              <w:tr2bl w:val="nil"/>
            </w:tcBorders>
            <w:shd w:val="clear" w:color="auto" w:fill="auto"/>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民事判决书</w:t>
            </w:r>
            <w:r>
              <w:rPr>
                <w:rFonts w:ascii="仿宋" w:hAnsi="仿宋" w:eastAsia="仿宋" w:cs="仿宋"/>
                <w:color w:val="000000"/>
                <w:kern w:val="0"/>
                <w:szCs w:val="21"/>
                <w:lang w:bidi="ar"/>
              </w:rPr>
              <w:t xml:space="preserve">  </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2021）鲁0102民初12998号</w:t>
            </w:r>
          </w:p>
        </w:tc>
        <w:tc>
          <w:tcPr>
            <w:tcW w:w="1127"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1350" w:type="dxa"/>
            <w:tcBorders>
              <w:tl2br w:val="nil"/>
              <w:tr2bl w:val="nil"/>
            </w:tcBorders>
            <w:shd w:val="clear" w:color="auto" w:fill="auto"/>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r>
    </w:tbl>
    <w:p>
      <w:pPr>
        <w:rPr>
          <w:rFonts w:ascii="仿宋_GB2312" w:eastAsia="仿宋_GB2312"/>
          <w:color w:val="000000" w:themeColor="text1"/>
          <w14:textFill>
            <w14:solidFill>
              <w14:schemeClr w14:val="tx1"/>
            </w14:solidFill>
          </w14:textFill>
        </w:rPr>
      </w:pPr>
    </w:p>
    <w:p>
      <w:pPr>
        <w:rPr>
          <w:rFonts w:ascii="仿宋_GB2312" w:eastAsia="仿宋_GB2312"/>
          <w:color w:val="000000" w:themeColor="text1"/>
          <w14:textFill>
            <w14:solidFill>
              <w14:schemeClr w14:val="tx1"/>
            </w14:solidFill>
          </w14:textFill>
        </w:rPr>
      </w:pPr>
    </w:p>
    <w:p>
      <w:pP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注：1、同一名称项下存在多份资产文件且部分为复印件的，应在备注中单独说明复印件的名称和数量；</w:t>
      </w:r>
    </w:p>
    <w:p>
      <w:pPr>
        <w:ind w:firstLine="420"/>
        <w:rPr>
          <w:rFonts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2、甲方于基准日实际持有的超出本清单范围的材料（如有），可在交割日一并交付给乙方，但该等交付不构成甲方在本协议项下的义务。</w:t>
      </w:r>
    </w:p>
    <w:p>
      <w:pPr>
        <w:ind w:firstLine="420"/>
        <w:rPr>
          <w:rFonts w:ascii="楷体" w:hAnsi="楷体" w:eastAsia="楷体"/>
          <w:b/>
          <w:color w:val="000000" w:themeColor="text1"/>
          <w:szCs w:val="21"/>
          <w14:textFill>
            <w14:solidFill>
              <w14:schemeClr w14:val="tx1"/>
            </w14:solidFill>
          </w14:textFill>
        </w:rPr>
      </w:pPr>
      <w:r>
        <w:rPr>
          <w:rFonts w:hint="eastAsia" w:ascii="楷体" w:hAnsi="楷体" w:eastAsia="楷体"/>
          <w:b/>
          <w:color w:val="000000" w:themeColor="text1"/>
          <w:szCs w:val="21"/>
          <w14:textFill>
            <w14:solidFill>
              <w14:schemeClr w14:val="tx1"/>
            </w14:solidFill>
          </w14:textFill>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ind w:firstLine="420"/>
        <w:rPr>
          <w:rFonts w:ascii="楷体" w:hAnsi="楷体" w:eastAsia="楷体"/>
          <w:b/>
          <w:color w:val="000000" w:themeColor="text1"/>
          <w:szCs w:val="21"/>
          <w14:textFill>
            <w14:solidFill>
              <w14:schemeClr w14:val="tx1"/>
            </w14:solidFill>
          </w14:textFill>
        </w:rPr>
      </w:pPr>
    </w:p>
    <w:p>
      <w:pPr>
        <w:spacing w:line="360" w:lineRule="auto"/>
        <w:ind w:firstLine="420"/>
        <w:rPr>
          <w:rFonts w:ascii="楷体" w:hAnsi="楷体" w:eastAsia="楷体"/>
          <w:b/>
          <w:color w:val="000000" w:themeColor="text1"/>
          <w:szCs w:val="21"/>
          <w14:textFill>
            <w14:solidFill>
              <w14:schemeClr w14:val="tx1"/>
            </w14:solidFill>
          </w14:textFill>
        </w:rPr>
      </w:pPr>
    </w:p>
    <w:p>
      <w:pPr>
        <w:spacing w:line="360" w:lineRule="auto"/>
        <w:outlineLvl w:val="0"/>
        <w:rPr>
          <w:rFonts w:ascii="楷体" w:hAnsi="楷体" w:eastAsia="楷体"/>
          <w:b/>
          <w:color w:val="000000" w:themeColor="text1"/>
          <w:szCs w:val="21"/>
          <w14:textFill>
            <w14:solidFill>
              <w14:schemeClr w14:val="tx1"/>
            </w14:solidFill>
          </w14:textFill>
        </w:rPr>
      </w:pPr>
      <w:r>
        <w:rPr>
          <w:rFonts w:ascii="楷体" w:hAnsi="楷体" w:eastAsia="楷体"/>
          <w:b/>
          <w:color w:val="000000" w:themeColor="text1"/>
          <w:szCs w:val="21"/>
          <w14:textFill>
            <w14:solidFill>
              <w14:schemeClr w14:val="tx1"/>
            </w14:solidFill>
          </w14:textFill>
        </w:rPr>
        <w:t>甲方：中国长城资产管理</w:t>
      </w:r>
      <w:r>
        <w:rPr>
          <w:rFonts w:hint="eastAsia" w:ascii="楷体" w:hAnsi="楷体" w:eastAsia="楷体"/>
          <w:b/>
          <w:color w:val="000000" w:themeColor="text1"/>
          <w:szCs w:val="21"/>
          <w14:textFill>
            <w14:solidFill>
              <w14:schemeClr w14:val="tx1"/>
            </w14:solidFill>
          </w14:textFill>
        </w:rPr>
        <w:t>股份有限</w:t>
      </w:r>
      <w:r>
        <w:rPr>
          <w:rFonts w:ascii="楷体" w:hAnsi="楷体" w:eastAsia="楷体"/>
          <w:b/>
          <w:color w:val="000000" w:themeColor="text1"/>
          <w:szCs w:val="21"/>
          <w14:textFill>
            <w14:solidFill>
              <w14:schemeClr w14:val="tx1"/>
            </w14:solidFill>
          </w14:textFill>
        </w:rPr>
        <w:t>公司</w:t>
      </w:r>
      <w:r>
        <w:rPr>
          <w:rFonts w:hint="eastAsia" w:ascii="楷体" w:hAnsi="楷体" w:eastAsia="楷体"/>
          <w:b/>
          <w:color w:val="000000" w:themeColor="text1"/>
          <w:szCs w:val="21"/>
          <w14:textFill>
            <w14:solidFill>
              <w14:schemeClr w14:val="tx1"/>
            </w14:solidFill>
          </w14:textFill>
        </w:rPr>
        <w:t>山东省分公司</w:t>
      </w:r>
      <w:r>
        <w:rPr>
          <w:rFonts w:ascii="楷体" w:hAnsi="楷体" w:eastAsia="楷体"/>
          <w:b/>
          <w:color w:val="000000" w:themeColor="text1"/>
          <w:szCs w:val="21"/>
          <w14:textFill>
            <w14:solidFill>
              <w14:schemeClr w14:val="tx1"/>
            </w14:solidFill>
          </w14:textFill>
        </w:rPr>
        <w:t>（盖章）</w:t>
      </w:r>
    </w:p>
    <w:p>
      <w:pPr>
        <w:pStyle w:val="7"/>
        <w:tabs>
          <w:tab w:val="left" w:pos="980"/>
        </w:tabs>
        <w:spacing w:after="0" w:line="360" w:lineRule="auto"/>
        <w:ind w:left="0" w:leftChars="0"/>
        <w:rPr>
          <w:rFonts w:ascii="楷体" w:hAnsi="楷体" w:eastAsia="楷体"/>
          <w:b/>
          <w:color w:val="000000" w:themeColor="text1"/>
          <w:szCs w:val="21"/>
          <w14:textFill>
            <w14:solidFill>
              <w14:schemeClr w14:val="tx1"/>
            </w14:solidFill>
          </w14:textFill>
        </w:rPr>
      </w:pPr>
      <w:r>
        <w:rPr>
          <w:rFonts w:hint="eastAsia" w:ascii="楷体" w:hAnsi="楷体" w:eastAsia="楷体"/>
          <w:b/>
          <w:color w:val="000000" w:themeColor="text1"/>
          <w:szCs w:val="21"/>
          <w14:textFill>
            <w14:solidFill>
              <w14:schemeClr w14:val="tx1"/>
            </w14:solidFill>
          </w14:textFill>
        </w:rPr>
        <w:t>负责</w:t>
      </w:r>
      <w:r>
        <w:rPr>
          <w:rFonts w:ascii="楷体" w:hAnsi="楷体" w:eastAsia="楷体"/>
          <w:b/>
          <w:color w:val="000000" w:themeColor="text1"/>
          <w:szCs w:val="21"/>
          <w14:textFill>
            <w14:solidFill>
              <w14:schemeClr w14:val="tx1"/>
            </w14:solidFill>
          </w14:textFill>
        </w:rPr>
        <w:t>人或授权代表（签字）：</w:t>
      </w:r>
      <w:r>
        <w:rPr>
          <w:rFonts w:ascii="楷体" w:hAnsi="楷体" w:eastAsia="楷体"/>
          <w:b/>
          <w:color w:val="000000" w:themeColor="text1"/>
          <w:szCs w:val="21"/>
          <w:u w:val="single"/>
          <w14:textFill>
            <w14:solidFill>
              <w14:schemeClr w14:val="tx1"/>
            </w14:solidFill>
          </w14:textFill>
        </w:rPr>
        <w:t xml:space="preserve">                        </w:t>
      </w:r>
      <w:r>
        <w:rPr>
          <w:rFonts w:hint="eastAsia" w:ascii="楷体" w:hAnsi="楷体" w:eastAsia="楷体"/>
          <w:b/>
          <w:color w:val="000000" w:themeColor="text1"/>
          <w:szCs w:val="21"/>
          <w:u w:val="single"/>
          <w14:textFill>
            <w14:solidFill>
              <w14:schemeClr w14:val="tx1"/>
            </w14:solidFill>
          </w14:textFill>
        </w:rPr>
        <w:t xml:space="preserve">    </w:t>
      </w:r>
    </w:p>
    <w:p>
      <w:pPr>
        <w:pStyle w:val="7"/>
        <w:tabs>
          <w:tab w:val="left" w:pos="980"/>
        </w:tabs>
        <w:spacing w:after="0" w:line="360" w:lineRule="auto"/>
        <w:ind w:left="0" w:leftChars="0"/>
        <w:rPr>
          <w:rFonts w:ascii="楷体" w:hAnsi="楷体" w:eastAsia="楷体"/>
          <w:b/>
          <w:color w:val="000000" w:themeColor="text1"/>
          <w:szCs w:val="21"/>
          <w14:textFill>
            <w14:solidFill>
              <w14:schemeClr w14:val="tx1"/>
            </w14:solidFill>
          </w14:textFill>
        </w:rPr>
      </w:pPr>
    </w:p>
    <w:p>
      <w:pPr>
        <w:pStyle w:val="7"/>
        <w:tabs>
          <w:tab w:val="left" w:pos="980"/>
        </w:tabs>
        <w:spacing w:after="0" w:line="360" w:lineRule="auto"/>
        <w:ind w:left="0" w:leftChars="0"/>
        <w:rPr>
          <w:rFonts w:ascii="楷体" w:hAnsi="楷体" w:eastAsia="楷体"/>
          <w:b/>
          <w:color w:val="000000" w:themeColor="text1"/>
          <w:szCs w:val="21"/>
          <w14:textFill>
            <w14:solidFill>
              <w14:schemeClr w14:val="tx1"/>
            </w14:solidFill>
          </w14:textFill>
        </w:rPr>
      </w:pPr>
    </w:p>
    <w:p>
      <w:pPr>
        <w:pStyle w:val="7"/>
        <w:tabs>
          <w:tab w:val="left" w:pos="980"/>
        </w:tabs>
        <w:spacing w:after="0" w:line="360" w:lineRule="auto"/>
        <w:ind w:left="0" w:leftChars="0"/>
        <w:rPr>
          <w:rFonts w:ascii="楷体" w:hAnsi="楷体" w:eastAsia="楷体"/>
          <w:b/>
          <w:color w:val="000000" w:themeColor="text1"/>
          <w:szCs w:val="21"/>
          <w14:textFill>
            <w14:solidFill>
              <w14:schemeClr w14:val="tx1"/>
            </w14:solidFill>
          </w14:textFill>
        </w:rPr>
      </w:pPr>
      <w:r>
        <w:rPr>
          <w:rFonts w:ascii="楷体" w:hAnsi="楷体" w:eastAsia="楷体"/>
          <w:b/>
          <w:color w:val="000000" w:themeColor="text1"/>
          <w:szCs w:val="21"/>
          <w14:textFill>
            <w14:solidFill>
              <w14:schemeClr w14:val="tx1"/>
            </w14:solidFill>
          </w14:textFill>
        </w:rPr>
        <w:t>乙方：</w:t>
      </w:r>
      <w:r>
        <w:rPr>
          <w:rFonts w:hint="eastAsia" w:ascii="楷体" w:hAnsi="楷体" w:eastAsia="楷体"/>
          <w:b/>
          <w:color w:val="000000" w:themeColor="text1"/>
          <w:szCs w:val="21"/>
          <w14:textFill>
            <w14:solidFill>
              <w14:schemeClr w14:val="tx1"/>
            </w14:solidFill>
          </w14:textFill>
        </w:rPr>
        <w:t>光彩银星拍卖有限公司</w:t>
      </w:r>
      <w:r>
        <w:rPr>
          <w:rFonts w:ascii="楷体" w:hAnsi="楷体" w:eastAsia="楷体"/>
          <w:b/>
          <w:color w:val="000000" w:themeColor="text1"/>
          <w:szCs w:val="21"/>
          <w14:textFill>
            <w14:solidFill>
              <w14:schemeClr w14:val="tx1"/>
            </w14:solidFill>
          </w14:textFill>
        </w:rPr>
        <w:t>（盖章）</w:t>
      </w:r>
    </w:p>
    <w:p>
      <w:pPr>
        <w:spacing w:line="360" w:lineRule="auto"/>
        <w:rPr>
          <w:rFonts w:ascii="楷体" w:hAnsi="楷体" w:eastAsia="楷体"/>
          <w:color w:val="000000" w:themeColor="text1"/>
          <w:szCs w:val="21"/>
          <w14:textFill>
            <w14:solidFill>
              <w14:schemeClr w14:val="tx1"/>
            </w14:solidFill>
          </w14:textFill>
        </w:rPr>
      </w:pPr>
      <w:r>
        <w:rPr>
          <w:rFonts w:ascii="楷体" w:hAnsi="楷体" w:eastAsia="楷体"/>
          <w:b/>
          <w:color w:val="000000" w:themeColor="text1"/>
          <w:szCs w:val="21"/>
          <w14:textFill>
            <w14:solidFill>
              <w14:schemeClr w14:val="tx1"/>
            </w14:solidFill>
          </w14:textFill>
        </w:rPr>
        <w:t>法定代表人或授权代表（签字）：</w:t>
      </w:r>
      <w:r>
        <w:rPr>
          <w:rFonts w:ascii="楷体" w:hAnsi="楷体" w:eastAsia="楷体"/>
          <w:b/>
          <w:color w:val="000000" w:themeColor="text1"/>
          <w:szCs w:val="21"/>
          <w:u w:val="single"/>
          <w14:textFill>
            <w14:solidFill>
              <w14:schemeClr w14:val="tx1"/>
            </w14:solidFill>
          </w14:textFill>
        </w:rPr>
        <w:t xml:space="preserve">                        </w:t>
      </w:r>
    </w:p>
    <w:p>
      <w:pPr>
        <w:spacing w:line="360" w:lineRule="auto"/>
        <w:jc w:val="left"/>
        <w:rPr>
          <w:rFonts w:ascii="楷体" w:hAnsi="楷体" w:eastAsia="楷体"/>
          <w:b/>
          <w:color w:val="000000" w:themeColor="text1"/>
          <w:szCs w:val="21"/>
          <w14:textFill>
            <w14:solidFill>
              <w14:schemeClr w14:val="tx1"/>
            </w14:solidFill>
          </w14:textFill>
        </w:rPr>
      </w:pPr>
      <w:r>
        <w:rPr>
          <w:rFonts w:ascii="楷体" w:hAnsi="楷体" w:eastAsia="楷体"/>
          <w:b/>
          <w:color w:val="000000" w:themeColor="text1"/>
          <w:szCs w:val="21"/>
          <w14:textFill>
            <w14:solidFill>
              <w14:schemeClr w14:val="tx1"/>
            </w14:solidFill>
          </w14:textFill>
        </w:rPr>
        <w:t xml:space="preserve">                      </w:t>
      </w:r>
      <w:r>
        <w:rPr>
          <w:rFonts w:hint="eastAsia" w:ascii="楷体" w:hAnsi="楷体" w:eastAsia="楷体"/>
          <w:b/>
          <w:color w:val="000000" w:themeColor="text1"/>
          <w:szCs w:val="21"/>
          <w14:textFill>
            <w14:solidFill>
              <w14:schemeClr w14:val="tx1"/>
            </w14:solidFill>
          </w14:textFill>
        </w:rPr>
        <w:t xml:space="preserve">     </w:t>
      </w:r>
      <w:r>
        <w:rPr>
          <w:rFonts w:ascii="楷体" w:hAnsi="楷体" w:eastAsia="楷体"/>
          <w:b/>
          <w:color w:val="000000" w:themeColor="text1"/>
          <w:szCs w:val="21"/>
          <w14:textFill>
            <w14:solidFill>
              <w14:schemeClr w14:val="tx1"/>
            </w14:solidFill>
          </w14:textFill>
        </w:rPr>
        <w:t xml:space="preserve"> </w:t>
      </w:r>
      <w:r>
        <w:rPr>
          <w:rFonts w:hint="eastAsia" w:ascii="楷体" w:hAnsi="楷体" w:eastAsia="楷体"/>
          <w:b/>
          <w:color w:val="000000" w:themeColor="text1"/>
          <w:szCs w:val="21"/>
          <w14:textFill>
            <w14:solidFill>
              <w14:schemeClr w14:val="tx1"/>
            </w14:solidFill>
          </w14:textFill>
        </w:rPr>
        <w:t xml:space="preserve">                          2022</w:t>
      </w:r>
      <w:r>
        <w:rPr>
          <w:rFonts w:ascii="楷体" w:hAnsi="楷体" w:eastAsia="楷体"/>
          <w:b/>
          <w:color w:val="000000" w:themeColor="text1"/>
          <w:szCs w:val="21"/>
          <w14:textFill>
            <w14:solidFill>
              <w14:schemeClr w14:val="tx1"/>
            </w14:solidFill>
          </w14:textFill>
        </w:rPr>
        <w:t>年</w:t>
      </w:r>
      <w:r>
        <w:rPr>
          <w:rFonts w:hint="eastAsia" w:ascii="楷体" w:hAnsi="楷体" w:eastAsia="楷体"/>
          <w:b/>
          <w:color w:val="000000" w:themeColor="text1"/>
          <w:szCs w:val="21"/>
          <w14:textFill>
            <w14:solidFill>
              <w14:schemeClr w14:val="tx1"/>
            </w14:solidFill>
          </w14:textFill>
        </w:rPr>
        <w:t xml:space="preserve">   </w:t>
      </w:r>
      <w:r>
        <w:rPr>
          <w:rFonts w:ascii="楷体" w:hAnsi="楷体" w:eastAsia="楷体"/>
          <w:b/>
          <w:color w:val="000000" w:themeColor="text1"/>
          <w:szCs w:val="21"/>
          <w14:textFill>
            <w14:solidFill>
              <w14:schemeClr w14:val="tx1"/>
            </w14:solidFill>
          </w14:textFill>
        </w:rPr>
        <w:t>月</w:t>
      </w:r>
      <w:r>
        <w:rPr>
          <w:rFonts w:hint="eastAsia" w:ascii="楷体" w:hAnsi="楷体" w:eastAsia="楷体"/>
          <w:b/>
          <w:color w:val="000000" w:themeColor="text1"/>
          <w:szCs w:val="21"/>
          <w14:textFill>
            <w14:solidFill>
              <w14:schemeClr w14:val="tx1"/>
            </w14:solidFill>
          </w14:textFill>
        </w:rPr>
        <w:t xml:space="preserve">   </w:t>
      </w:r>
      <w:r>
        <w:rPr>
          <w:rFonts w:ascii="楷体" w:hAnsi="楷体" w:eastAsia="楷体"/>
          <w:b/>
          <w:color w:val="000000" w:themeColor="text1"/>
          <w:szCs w:val="21"/>
          <w14:textFill>
            <w14:solidFill>
              <w14:schemeClr w14:val="tx1"/>
            </w14:solidFill>
          </w14:textFill>
        </w:rPr>
        <w:t>日</w:t>
      </w:r>
      <w:r>
        <w:rPr>
          <w:rFonts w:ascii="楷体" w:hAnsi="楷体" w:eastAsia="楷体"/>
          <w:b/>
          <w:color w:val="000000" w:themeColor="text1"/>
          <w:szCs w:val="21"/>
          <w14:textFill>
            <w14:solidFill>
              <w14:schemeClr w14:val="tx1"/>
            </w14:solidFill>
          </w14:textFill>
        </w:rPr>
        <w:br w:type="page"/>
      </w:r>
    </w:p>
    <w:p>
      <w:pPr>
        <w:spacing w:line="360" w:lineRule="auto"/>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t>附件三：</w:t>
      </w:r>
      <w:r>
        <w:rPr>
          <w:rFonts w:hint="eastAsia" w:ascii="楷体" w:hAnsi="楷体" w:eastAsia="楷体"/>
          <w:b/>
          <w:color w:val="000000" w:themeColor="text1"/>
          <w:sz w:val="24"/>
          <w14:textFill>
            <w14:solidFill>
              <w14:schemeClr w14:val="tx1"/>
            </w14:solidFill>
          </w14:textFill>
        </w:rPr>
        <w:t>拍卖债权的瑕疵披露</w:t>
      </w:r>
    </w:p>
    <w:p>
      <w:pPr>
        <w:pStyle w:val="7"/>
        <w:tabs>
          <w:tab w:val="left" w:pos="980"/>
        </w:tabs>
        <w:spacing w:after="0" w:line="360" w:lineRule="auto"/>
        <w:ind w:left="0" w:leftChars="0"/>
        <w:rPr>
          <w:rFonts w:ascii="楷体" w:hAnsi="楷体" w:eastAsia="楷体"/>
          <w:b/>
          <w:color w:val="000000" w:themeColor="text1"/>
          <w:sz w:val="24"/>
          <w:u w:val="single"/>
          <w14:textFill>
            <w14:solidFill>
              <w14:schemeClr w14:val="tx1"/>
            </w14:solidFill>
          </w14:textFill>
        </w:rPr>
      </w:pPr>
    </w:p>
    <w:p>
      <w:pPr>
        <w:snapToGrid w:val="0"/>
        <w:spacing w:line="360" w:lineRule="auto"/>
        <w:ind w:right="-87"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 </w:t>
      </w:r>
      <w:r>
        <w:rPr>
          <w:rFonts w:hint="eastAsia" w:ascii="楷体" w:hAnsi="楷体" w:eastAsia="楷体"/>
          <w:color w:val="000000" w:themeColor="text1"/>
          <w:sz w:val="24"/>
          <w14:textFill>
            <w14:solidFill>
              <w14:schemeClr w14:val="tx1"/>
            </w14:solidFill>
          </w14:textFill>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1.1</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贷款债权系不良资产，存在着部分或全部不能回收的风险特性以及清收的困难性；</w:t>
      </w:r>
    </w:p>
    <w:p>
      <w:pPr>
        <w:snapToGrid w:val="0"/>
        <w:spacing w:line="360" w:lineRule="auto"/>
        <w:ind w:right="-87"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1.2 </w:t>
      </w:r>
      <w:r>
        <w:rPr>
          <w:rFonts w:hint="eastAsia" w:ascii="楷体" w:hAnsi="楷体" w:eastAsia="楷体"/>
          <w:color w:val="000000" w:themeColor="text1"/>
          <w:sz w:val="24"/>
          <w14:textFill>
            <w14:solidFill>
              <w14:schemeClr w14:val="tx1"/>
            </w14:solidFill>
          </w14:textFill>
        </w:rPr>
        <w:t>由于可能存在的计算误差或其他原因，受让人实际接收的贷款债权金额与附件一《拍卖债权明细表》载明的金额可能不完全一致；基于有关司法政策文件，买受人受让贷款债权后向债务人或担保人所能主张并获得司法支持的利息可能与与附件一《拍卖债权明细表》中所列明的利息不完全一致；</w:t>
      </w:r>
    </w:p>
    <w:p>
      <w:pPr>
        <w:snapToGrid w:val="0"/>
        <w:spacing w:line="360" w:lineRule="auto"/>
        <w:ind w:right="-87"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1.3 </w:t>
      </w:r>
      <w:r>
        <w:rPr>
          <w:rFonts w:hint="eastAsia" w:ascii="楷体" w:hAnsi="楷体" w:eastAsia="楷体"/>
          <w:color w:val="000000" w:themeColor="text1"/>
          <w:sz w:val="24"/>
          <w14:textFill>
            <w14:solidFill>
              <w14:schemeClr w14:val="tx1"/>
            </w14:solidFill>
          </w14:textFill>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1.4 </w:t>
      </w:r>
      <w:r>
        <w:rPr>
          <w:rFonts w:hint="eastAsia" w:ascii="楷体" w:hAnsi="楷体" w:eastAsia="楷体"/>
          <w:color w:val="000000" w:themeColor="text1"/>
          <w:sz w:val="24"/>
          <w14:textFill>
            <w14:solidFill>
              <w14:schemeClr w14:val="tx1"/>
            </w14:solidFill>
          </w14:textFill>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1.5 </w:t>
      </w:r>
      <w:r>
        <w:rPr>
          <w:rFonts w:hint="eastAsia" w:ascii="楷体" w:hAnsi="楷体" w:eastAsia="楷体"/>
          <w:color w:val="000000" w:themeColor="text1"/>
          <w:sz w:val="24"/>
          <w14:textFill>
            <w14:solidFill>
              <w14:schemeClr w14:val="tx1"/>
            </w14:solidFill>
          </w14:textFill>
        </w:rPr>
        <w:t>贷款债权项下担保权利可能未生效、无效、消灭或已过诉讼时效等情形；</w:t>
      </w:r>
    </w:p>
    <w:p>
      <w:pPr>
        <w:snapToGrid w:val="0"/>
        <w:spacing w:line="360" w:lineRule="auto"/>
        <w:ind w:right="-86" w:rightChars="-41"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1.6 </w:t>
      </w:r>
      <w:r>
        <w:rPr>
          <w:rFonts w:hint="eastAsia" w:ascii="楷体" w:hAnsi="楷体" w:eastAsia="楷体"/>
          <w:color w:val="000000" w:themeColor="text1"/>
          <w:sz w:val="24"/>
          <w14:textFill>
            <w14:solidFill>
              <w14:schemeClr w14:val="tx1"/>
            </w14:solidFill>
          </w14:textFill>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1.7</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1.8 </w:t>
      </w:r>
      <w:r>
        <w:rPr>
          <w:rFonts w:hint="eastAsia" w:ascii="楷体" w:hAnsi="楷体" w:eastAsia="楷体"/>
          <w:color w:val="000000" w:themeColor="text1"/>
          <w:sz w:val="24"/>
          <w14:textFill>
            <w14:solidFill>
              <w14:schemeClr w14:val="tx1"/>
            </w14:solidFill>
          </w14:textFill>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1.9</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1.10</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1.1</w:t>
      </w:r>
      <w:r>
        <w:rPr>
          <w:rFonts w:hint="eastAsia" w:ascii="楷体" w:hAnsi="楷体" w:eastAsia="楷体"/>
          <w:color w:val="000000" w:themeColor="text1"/>
          <w:sz w:val="24"/>
          <w14:textFill>
            <w14:solidFill>
              <w14:schemeClr w14:val="tx1"/>
            </w14:solidFill>
          </w14:textFill>
        </w:rPr>
        <w:t>1 借款人或担保人可能已停产或半停产，以及难以联系到借款人的实际控制人等情形；</w:t>
      </w:r>
    </w:p>
    <w:p>
      <w:pPr>
        <w:snapToGrid w:val="0"/>
        <w:spacing w:line="360" w:lineRule="auto"/>
        <w:ind w:firstLine="470" w:firstLineChars="196"/>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1.12 担保人中海海洋（青岛）肽谷产业园有限公司曾于2019年11月1日向工商登记机关申请简易注销登记，但目前该企业的工商登记状态为在营（在业）状态。</w:t>
      </w:r>
    </w:p>
    <w:p>
      <w:pPr>
        <w:snapToGrid w:val="0"/>
        <w:spacing w:line="360" w:lineRule="auto"/>
        <w:ind w:left="480" w:hanging="480" w:hanging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1</w:t>
      </w:r>
      <w:r>
        <w:rPr>
          <w:rFonts w:hint="eastAsia" w:ascii="楷体" w:hAnsi="楷体" w:eastAsia="楷体"/>
          <w:color w:val="000000" w:themeColor="text1"/>
          <w:sz w:val="24"/>
          <w14:textFill>
            <w14:solidFill>
              <w14:schemeClr w14:val="tx1"/>
            </w14:solidFill>
          </w14:textFill>
        </w:rPr>
        <w:t xml:space="preserve">.13 </w:t>
      </w:r>
      <w:r>
        <w:rPr>
          <w:rFonts w:ascii="楷体" w:hAnsi="楷体" w:eastAsia="楷体"/>
          <w:color w:val="000000" w:themeColor="text1"/>
          <w:sz w:val="24"/>
          <w14:textFill>
            <w14:solidFill>
              <w14:schemeClr w14:val="tx1"/>
            </w14:solidFill>
          </w14:textFill>
        </w:rPr>
        <w:t>该户债权项下的抵押设备存在毁损灭失风险；</w:t>
      </w:r>
    </w:p>
    <w:p>
      <w:pPr>
        <w:snapToGrid w:val="0"/>
        <w:spacing w:line="360" w:lineRule="auto"/>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 xml:space="preserve">1.14 </w:t>
      </w:r>
      <w:r>
        <w:rPr>
          <w:rFonts w:ascii="楷体" w:hAnsi="楷体" w:eastAsia="楷体"/>
          <w:color w:val="000000" w:themeColor="text1"/>
          <w:sz w:val="24"/>
          <w14:textFill>
            <w14:solidFill>
              <w14:schemeClr w14:val="tx1"/>
            </w14:solidFill>
          </w14:textFill>
        </w:rPr>
        <w:t>该户债权项下的抵押房地产已对外长期租赁，存在收益受损等处置风险；</w:t>
      </w:r>
      <w:r>
        <w:rPr>
          <w:rFonts w:ascii="楷体" w:hAnsi="楷体" w:eastAsia="楷体"/>
          <w:color w:val="000000" w:themeColor="text1"/>
          <w:sz w:val="24"/>
          <w14:textFill>
            <w14:solidFill>
              <w14:schemeClr w14:val="tx1"/>
            </w14:solidFill>
          </w14:textFill>
        </w:rPr>
        <w:br w:type="textWrapping"/>
      </w:r>
      <w:r>
        <w:rPr>
          <w:rFonts w:hint="eastAsia" w:ascii="楷体" w:hAnsi="楷体" w:eastAsia="楷体"/>
          <w:color w:val="000000" w:themeColor="text1"/>
          <w:sz w:val="24"/>
          <w14:textFill>
            <w14:solidFill>
              <w14:schemeClr w14:val="tx1"/>
            </w14:solidFill>
          </w14:textFill>
        </w:rPr>
        <w:t xml:space="preserve">    1.15 </w:t>
      </w:r>
      <w:r>
        <w:rPr>
          <w:rFonts w:ascii="楷体" w:hAnsi="楷体" w:eastAsia="楷体"/>
          <w:color w:val="000000" w:themeColor="text1"/>
          <w:sz w:val="24"/>
          <w14:textFill>
            <w14:solidFill>
              <w14:schemeClr w14:val="tx1"/>
            </w14:solidFill>
          </w14:textFill>
        </w:rPr>
        <w:t>该户债权涉诉判决尚未生效、未申请执行。</w:t>
      </w:r>
    </w:p>
    <w:p>
      <w:pPr>
        <w:snapToGrid w:val="0"/>
        <w:spacing w:line="360" w:lineRule="auto"/>
        <w:ind w:firstLine="470" w:firstLineChars="196"/>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委托人对于上述瑕疵或风险不发表任何判断性结论，由买受人自行作出判断，委托人及前手债权人不承担任何责任。</w:t>
      </w:r>
    </w:p>
    <w:p>
      <w:pPr>
        <w:spacing w:line="360" w:lineRule="auto"/>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2、 </w:t>
      </w:r>
      <w:r>
        <w:rPr>
          <w:rFonts w:hint="eastAsia" w:ascii="楷体" w:hAnsi="楷体" w:eastAsia="楷体"/>
          <w:color w:val="000000" w:themeColor="text1"/>
          <w:sz w:val="24"/>
          <w14:textFill>
            <w14:solidFill>
              <w14:schemeClr w14:val="tx1"/>
            </w14:solidFill>
          </w14:textFill>
        </w:rPr>
        <w:t>拍卖人应将第</w:t>
      </w:r>
      <w:r>
        <w:rPr>
          <w:rFonts w:ascii="楷体" w:hAnsi="楷体" w:eastAsia="楷体"/>
          <w:color w:val="000000" w:themeColor="text1"/>
          <w:sz w:val="24"/>
          <w14:textFill>
            <w14:solidFill>
              <w14:schemeClr w14:val="tx1"/>
            </w14:solidFill>
          </w14:textFill>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3、</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color w:val="000000" w:themeColor="text1"/>
          <w:sz w:val="24"/>
          <w:u w:val="single"/>
          <w14:textFill>
            <w14:solidFill>
              <w14:schemeClr w14:val="tx1"/>
            </w14:solidFill>
          </w14:textFill>
        </w:rPr>
      </w:pPr>
      <w:r>
        <w:rPr>
          <w:rFonts w:ascii="楷体" w:hAnsi="楷体" w:eastAsia="楷体"/>
          <w:color w:val="000000" w:themeColor="text1"/>
          <w:sz w:val="24"/>
          <w14:textFill>
            <w14:solidFill>
              <w14:schemeClr w14:val="tx1"/>
            </w14:solidFill>
          </w14:textFill>
        </w:rPr>
        <w:t>4、</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color w:val="000000" w:themeColor="text1"/>
          <w:sz w:val="24"/>
          <w:u w:val="single"/>
          <w14:textFill>
            <w14:solidFill>
              <w14:schemeClr w14:val="tx1"/>
            </w14:solidFill>
          </w14:textFill>
        </w:rPr>
        <w:br w:type="page"/>
      </w:r>
    </w:p>
    <w:p>
      <w:pPr>
        <w:spacing w:line="360" w:lineRule="auto"/>
        <w:ind w:firstLine="0" w:firstLineChars="0"/>
        <w:jc w:val="center"/>
        <w:rPr>
          <w:rFonts w:ascii="楷体" w:hAnsi="楷体" w:eastAsia="楷体"/>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附件六：保密承诺函</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中国长城资产管理股份有限公司山东省分公司：</w:t>
      </w:r>
    </w:p>
    <w:p>
      <w:pPr>
        <w:spacing w:line="360" w:lineRule="auto"/>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我</w:t>
      </w:r>
      <w:r>
        <w:rPr>
          <w:rFonts w:ascii="楷体" w:hAnsi="楷体" w:eastAsia="楷体"/>
          <w:color w:val="000000" w:themeColor="text1"/>
          <w:sz w:val="24"/>
          <w14:textFill>
            <w14:solidFill>
              <w14:schemeClr w14:val="tx1"/>
            </w14:solidFill>
          </w14:textFill>
        </w:rPr>
        <w:t>/我单位拟参加贵公司拟</w:t>
      </w:r>
      <w:r>
        <w:rPr>
          <w:rFonts w:hint="eastAsia" w:ascii="楷体" w:hAnsi="楷体" w:eastAsia="楷体"/>
          <w:color w:val="000000" w:themeColor="text1"/>
          <w:sz w:val="24"/>
          <w14:textFill>
            <w14:solidFill>
              <w14:schemeClr w14:val="tx1"/>
            </w14:solidFill>
          </w14:textFill>
        </w:rPr>
        <w:t>于</w:t>
      </w:r>
      <w:r>
        <w:rPr>
          <w:rFonts w:ascii="楷体" w:hAnsi="楷体" w:eastAsia="楷体"/>
          <w:color w:val="000000" w:themeColor="text1"/>
          <w:sz w:val="24"/>
          <w:u w:val="single"/>
          <w14:textFill>
            <w14:solidFill>
              <w14:schemeClr w14:val="tx1"/>
            </w14:solidFill>
          </w14:textFill>
        </w:rPr>
        <w:t>20</w:t>
      </w:r>
      <w:r>
        <w:rPr>
          <w:rFonts w:hint="eastAsia" w:ascii="楷体" w:hAnsi="楷体" w:eastAsia="楷体"/>
          <w:color w:val="000000" w:themeColor="text1"/>
          <w:sz w:val="24"/>
          <w:u w:val="single"/>
          <w14:textFill>
            <w14:solidFill>
              <w14:schemeClr w14:val="tx1"/>
            </w14:solidFill>
          </w14:textFill>
        </w:rPr>
        <w:t>22</w:t>
      </w:r>
      <w:r>
        <w:rPr>
          <w:rFonts w:hint="eastAsia" w:ascii="楷体" w:hAnsi="楷体" w:eastAsia="楷体"/>
          <w:color w:val="000000" w:themeColor="text1"/>
          <w:sz w:val="24"/>
          <w14:textFill>
            <w14:solidFill>
              <w14:schemeClr w14:val="tx1"/>
            </w14:solidFill>
          </w14:textFill>
        </w:rPr>
        <w:t>年</w:t>
      </w:r>
      <w:r>
        <w:rPr>
          <w:rFonts w:hint="eastAsia" w:ascii="楷体" w:hAnsi="楷体" w:eastAsia="楷体"/>
          <w:color w:val="000000" w:themeColor="text1"/>
          <w:sz w:val="24"/>
          <w:u w:val="single"/>
          <w14:textFill>
            <w14:solidFill>
              <w14:schemeClr w14:val="tx1"/>
            </w14:solidFill>
          </w14:textFill>
        </w:rPr>
        <w:t>2</w:t>
      </w:r>
      <w:r>
        <w:rPr>
          <w:rFonts w:hint="eastAsia"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lang w:val="en-US" w:eastAsia="zh-CN"/>
          <w14:textFill>
            <w14:solidFill>
              <w14:schemeClr w14:val="tx1"/>
            </w14:solidFill>
          </w14:textFill>
        </w:rPr>
        <w:t>8</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日由</w:t>
      </w:r>
      <w:r>
        <w:rPr>
          <w:rFonts w:hint="eastAsia" w:ascii="楷体" w:hAnsi="楷体" w:eastAsia="楷体"/>
          <w:color w:val="000000" w:themeColor="text1"/>
          <w:sz w:val="24"/>
          <w:u w:val="single"/>
          <w14:textFill>
            <w14:solidFill>
              <w14:schemeClr w14:val="tx1"/>
            </w14:solidFill>
          </w14:textFill>
        </w:rPr>
        <w:t>光彩银星拍卖有限公司</w:t>
      </w:r>
      <w:r>
        <w:rPr>
          <w:rFonts w:hint="eastAsia" w:ascii="楷体" w:hAnsi="楷体" w:eastAsia="楷体"/>
          <w:color w:val="000000" w:themeColor="text1"/>
          <w:sz w:val="24"/>
          <w14:textFill>
            <w14:solidFill>
              <w14:schemeClr w14:val="tx1"/>
            </w14:solidFill>
          </w14:textFill>
        </w:rPr>
        <w:t>拍卖行举行的关于</w:t>
      </w:r>
      <w:r>
        <w:rPr>
          <w:rFonts w:hint="eastAsia" w:ascii="楷体" w:hAnsi="楷体" w:eastAsia="楷体"/>
          <w:color w:val="000000" w:themeColor="text1"/>
          <w:sz w:val="24"/>
          <w:u w:val="single"/>
          <w14:textFill>
            <w14:solidFill>
              <w14:schemeClr w14:val="tx1"/>
            </w14:solidFill>
          </w14:textFill>
        </w:rPr>
        <w:t>中海海洋科技股份有限公司</w:t>
      </w:r>
      <w:r>
        <w:rPr>
          <w:rFonts w:hint="eastAsia" w:ascii="楷体" w:hAnsi="楷体" w:eastAsia="楷体"/>
          <w:color w:val="000000" w:themeColor="text1"/>
          <w:sz w:val="24"/>
          <w14:textFill>
            <w14:solidFill>
              <w14:schemeClr w14:val="tx1"/>
            </w14:solidFill>
          </w14:textFill>
        </w:rPr>
        <w:t>债权拍卖标的的竞买，为做好竞买报价的前期调查，我</w:t>
      </w:r>
      <w:r>
        <w:rPr>
          <w:rFonts w:ascii="楷体" w:hAnsi="楷体" w:eastAsia="楷体"/>
          <w:color w:val="000000" w:themeColor="text1"/>
          <w:sz w:val="24"/>
          <w14:textFill>
            <w14:solidFill>
              <w14:schemeClr w14:val="tx1"/>
            </w14:solidFill>
          </w14:textFill>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                             </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3840" w:firstLineChars="16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承诺人：</w:t>
      </w:r>
    </w:p>
    <w:p>
      <w:pPr>
        <w:spacing w:line="360" w:lineRule="auto"/>
        <w:ind w:firstLine="3840" w:firstLineChars="16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（承诺人</w:t>
      </w:r>
      <w:r>
        <w:rPr>
          <w:rFonts w:hint="eastAsia" w:ascii="楷体" w:hAnsi="楷体" w:eastAsia="楷体"/>
          <w:color w:val="000000" w:themeColor="text1"/>
          <w:sz w:val="24"/>
          <w14:textFill>
            <w14:solidFill>
              <w14:schemeClr w14:val="tx1"/>
            </w14:solidFill>
          </w14:textFill>
        </w:rPr>
        <w:t>签名或盖</w:t>
      </w:r>
      <w:r>
        <w:rPr>
          <w:rFonts w:ascii="楷体" w:hAnsi="楷体" w:eastAsia="楷体"/>
          <w:color w:val="000000" w:themeColor="text1"/>
          <w:sz w:val="24"/>
          <w14:textFill>
            <w14:solidFill>
              <w14:schemeClr w14:val="tx1"/>
            </w14:solidFill>
          </w14:textFill>
        </w:rPr>
        <w:t>公章）</w:t>
      </w:r>
    </w:p>
    <w:p>
      <w:pPr>
        <w:spacing w:line="360" w:lineRule="auto"/>
        <w:ind w:firstLine="480" w:firstLineChars="200"/>
        <w:rPr>
          <w:rFonts w:ascii="楷体" w:hAnsi="楷体" w:eastAsia="楷体"/>
          <w:color w:val="000000" w:themeColor="text1"/>
          <w:sz w:val="24"/>
          <w14:textFill>
            <w14:solidFill>
              <w14:schemeClr w14:val="tx1"/>
            </w14:solidFill>
          </w14:textFill>
        </w:rPr>
      </w:pPr>
    </w:p>
    <w:p>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 xml:space="preserve">   2022</w:t>
      </w:r>
      <w:r>
        <w:rPr>
          <w:rFonts w:ascii="楷体" w:hAnsi="楷体" w:eastAsia="楷体"/>
          <w:color w:val="000000" w:themeColor="text1"/>
          <w:sz w:val="24"/>
          <w14:textFill>
            <w14:solidFill>
              <w14:schemeClr w14:val="tx1"/>
            </w14:solidFill>
          </w14:textFill>
        </w:rPr>
        <w:t xml:space="preserve">年 </w:t>
      </w:r>
      <w:r>
        <w:rPr>
          <w:rFonts w:hint="eastAsia" w:ascii="楷体" w:hAnsi="楷体" w:eastAsia="楷体"/>
          <w:color w:val="000000" w:themeColor="text1"/>
          <w:sz w:val="24"/>
          <w:lang w:val="en-US" w:eastAsia="zh-CN"/>
          <w14:textFill>
            <w14:solidFill>
              <w14:schemeClr w14:val="tx1"/>
            </w14:solidFill>
          </w14:textFill>
        </w:rPr>
        <w:t>1</w:t>
      </w:r>
      <w:r>
        <w:rPr>
          <w:rFonts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lang w:val="en-US" w:eastAsia="zh-CN"/>
          <w14:textFill>
            <w14:solidFill>
              <w14:schemeClr w14:val="tx1"/>
            </w14:solidFill>
          </w14:textFill>
        </w:rPr>
        <w:t>28</w:t>
      </w:r>
      <w:r>
        <w:rPr>
          <w:rFonts w:ascii="楷体" w:hAnsi="楷体" w:eastAsia="楷体"/>
          <w:color w:val="000000" w:themeColor="text1"/>
          <w:sz w:val="24"/>
          <w14:textFill>
            <w14:solidFill>
              <w14:schemeClr w14:val="tx1"/>
            </w14:solidFill>
          </w14:textFill>
        </w:rPr>
        <w:t>日</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pStyle w:val="7"/>
        <w:tabs>
          <w:tab w:val="left" w:pos="540"/>
        </w:tabs>
        <w:spacing w:after="0" w:line="360" w:lineRule="auto"/>
        <w:ind w:left="0" w:leftChars="0"/>
        <w:jc w:val="center"/>
        <w:rPr>
          <w:rFonts w:ascii="楷体" w:hAnsi="楷体" w:eastAsia="楷体"/>
          <w:b/>
          <w:color w:val="000000" w:themeColor="text1"/>
          <w:sz w:val="24"/>
          <w14:textFill>
            <w14:solidFill>
              <w14:schemeClr w14:val="tx1"/>
            </w14:solidFill>
          </w14:textFill>
        </w:rPr>
      </w:pPr>
    </w:p>
    <w:p>
      <w:pPr>
        <w:spacing w:line="360" w:lineRule="auto"/>
        <w:jc w:val="center"/>
        <w:rPr>
          <w:rFonts w:ascii="楷体" w:hAnsi="楷体" w:eastAsia="楷体"/>
          <w:b/>
          <w:color w:val="000000" w:themeColor="text1"/>
          <w:sz w:val="24"/>
          <w14:textFill>
            <w14:solidFill>
              <w14:schemeClr w14:val="tx1"/>
            </w14:solidFill>
          </w14:textFill>
        </w:rPr>
      </w:pPr>
      <w:r>
        <w:rPr>
          <w:rFonts w:ascii="楷体" w:hAnsi="楷体" w:eastAsia="楷体"/>
          <w:b/>
          <w:color w:val="000000" w:themeColor="text1"/>
          <w:sz w:val="24"/>
          <w14:textFill>
            <w14:solidFill>
              <w14:schemeClr w14:val="tx1"/>
            </w14:solidFill>
          </w14:textFill>
        </w:rPr>
        <w:br w:type="page"/>
      </w:r>
    </w:p>
    <w:p>
      <w:pPr>
        <w:tabs>
          <w:tab w:val="left" w:pos="8280"/>
        </w:tabs>
        <w:adjustRightInd w:val="0"/>
        <w:snapToGrid w:val="0"/>
        <w:spacing w:line="360" w:lineRule="auto"/>
        <w:ind w:right="-153"/>
        <w:jc w:val="center"/>
        <w:rPr>
          <w:rFonts w:ascii="楷体" w:hAnsi="楷体" w:eastAsia="楷体"/>
          <w:b/>
          <w:color w:val="000000" w:themeColor="text1"/>
          <w:sz w:val="24"/>
          <w14:textFill>
            <w14:solidFill>
              <w14:schemeClr w14:val="tx1"/>
            </w14:solidFill>
          </w14:textFill>
        </w:rPr>
      </w:pPr>
      <w:r>
        <w:rPr>
          <w:rFonts w:hint="eastAsia" w:ascii="楷体" w:hAnsi="楷体" w:eastAsia="楷体"/>
          <w:b/>
          <w:color w:val="000000" w:themeColor="text1"/>
          <w:sz w:val="24"/>
          <w14:textFill>
            <w14:solidFill>
              <w14:schemeClr w14:val="tx1"/>
            </w14:solidFill>
          </w14:textFill>
        </w:rPr>
        <w:t>附件七：竞买人参加竞买承诺书</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中国长城资产管理股份有限公司山东省分公司：</w:t>
      </w:r>
    </w:p>
    <w:p>
      <w:pPr>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光彩银星拍卖有限公司（拍卖行）：</w:t>
      </w:r>
    </w:p>
    <w:p>
      <w:pPr>
        <w:spacing w:line="360" w:lineRule="auto"/>
        <w:ind w:firstLine="480" w:firstLineChars="20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我/我单位拟参加中国长城资产管理股份有限公司山东省分公司拟于</w:t>
      </w:r>
      <w:r>
        <w:rPr>
          <w:rFonts w:hint="eastAsia" w:ascii="楷体" w:hAnsi="楷体" w:eastAsia="楷体"/>
          <w:color w:val="000000" w:themeColor="text1"/>
          <w:sz w:val="24"/>
          <w:u w:val="single"/>
          <w14:textFill>
            <w14:solidFill>
              <w14:schemeClr w14:val="tx1"/>
            </w14:solidFill>
          </w14:textFill>
        </w:rPr>
        <w:t>2022</w:t>
      </w:r>
      <w:r>
        <w:rPr>
          <w:rFonts w:hint="eastAsia" w:ascii="楷体" w:hAnsi="楷体" w:eastAsia="楷体"/>
          <w:color w:val="000000" w:themeColor="text1"/>
          <w:sz w:val="24"/>
          <w14:textFill>
            <w14:solidFill>
              <w14:schemeClr w14:val="tx1"/>
            </w14:solidFill>
          </w14:textFill>
        </w:rPr>
        <w:t>年</w:t>
      </w:r>
      <w:r>
        <w:rPr>
          <w:rFonts w:hint="eastAsia" w:ascii="楷体" w:hAnsi="楷体" w:eastAsia="楷体"/>
          <w:color w:val="000000" w:themeColor="text1"/>
          <w:sz w:val="24"/>
          <w:u w:val="single"/>
          <w14:textFill>
            <w14:solidFill>
              <w14:schemeClr w14:val="tx1"/>
            </w14:solidFill>
          </w14:textFill>
        </w:rPr>
        <w:t>2</w:t>
      </w:r>
      <w:r>
        <w:rPr>
          <w:rFonts w:hint="eastAsia"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lang w:val="en-US" w:eastAsia="zh-CN"/>
          <w14:textFill>
            <w14:solidFill>
              <w14:schemeClr w14:val="tx1"/>
            </w14:solidFill>
          </w14:textFill>
        </w:rPr>
        <w:t>8</w:t>
      </w:r>
      <w:r>
        <w:rPr>
          <w:rFonts w:hint="eastAsia"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日由</w:t>
      </w:r>
      <w:r>
        <w:rPr>
          <w:rFonts w:hint="eastAsia" w:ascii="楷体" w:hAnsi="楷体" w:eastAsia="楷体"/>
          <w:color w:val="000000" w:themeColor="text1"/>
          <w:sz w:val="24"/>
          <w:u w:val="single"/>
          <w14:textFill>
            <w14:solidFill>
              <w14:schemeClr w14:val="tx1"/>
            </w14:solidFill>
          </w14:textFill>
        </w:rPr>
        <w:t>光彩银星拍卖有限公司</w:t>
      </w:r>
      <w:r>
        <w:rPr>
          <w:rFonts w:hint="eastAsia" w:ascii="楷体" w:hAnsi="楷体" w:eastAsia="楷体"/>
          <w:color w:val="000000" w:themeColor="text1"/>
          <w:sz w:val="24"/>
          <w14:textFill>
            <w14:solidFill>
              <w14:schemeClr w14:val="tx1"/>
            </w14:solidFill>
          </w14:textFill>
        </w:rPr>
        <w:t>拍卖行举行的关于</w:t>
      </w:r>
      <w:r>
        <w:rPr>
          <w:rFonts w:hint="eastAsia" w:ascii="楷体" w:hAnsi="楷体" w:eastAsia="楷体"/>
          <w:color w:val="000000" w:themeColor="text1"/>
          <w:sz w:val="24"/>
          <w:u w:val="single"/>
          <w14:textFill>
            <w14:solidFill>
              <w14:schemeClr w14:val="tx1"/>
            </w14:solidFill>
          </w14:textFill>
        </w:rPr>
        <w:t>中海海洋科技股份有限公司</w:t>
      </w:r>
      <w:r>
        <w:rPr>
          <w:rFonts w:hint="eastAsia" w:ascii="楷体" w:hAnsi="楷体" w:eastAsia="楷体"/>
          <w:color w:val="000000" w:themeColor="text1"/>
          <w:sz w:val="24"/>
          <w14:textFill>
            <w14:solidFill>
              <w14:schemeClr w14:val="tx1"/>
            </w14:solidFill>
          </w14:textFill>
        </w:rPr>
        <w:t>债权拍卖标的的竞买，我/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国家公务员、金融监管机构工作人员、政法干警、金融资产管理公司工作人员、原债务企业管理层、国有企业债务人管理人员、参与资产处置工作的律师、会计师、评估师等中介机构等关联人或者上述机构参与的非金融机构法人等受限制的受让主体，亦不与本次不良债权转让的金融资产管理公司工作人员、原债务企业管理层、国有企业债务人管理人员或者受托资产评估机构负责人员等存在任何直系亲属关系”，若存在以上情形，我/我单位将自愿承担全部责任，赔偿中国长城资产管理股份有限公司山东省分公司以及</w:t>
      </w:r>
      <w:r>
        <w:rPr>
          <w:rFonts w:hint="eastAsia" w:ascii="楷体" w:hAnsi="楷体" w:eastAsia="楷体"/>
          <w:color w:val="000000" w:themeColor="text1"/>
          <w:sz w:val="24"/>
          <w:u w:val="single"/>
          <w14:textFill>
            <w14:solidFill>
              <w14:schemeClr w14:val="tx1"/>
            </w14:solidFill>
          </w14:textFill>
        </w:rPr>
        <w:t>光彩银星拍卖有限公司</w:t>
      </w:r>
      <w:r>
        <w:rPr>
          <w:rFonts w:hint="eastAsia" w:ascii="楷体" w:hAnsi="楷体" w:eastAsia="楷体"/>
          <w:color w:val="000000" w:themeColor="text1"/>
          <w:sz w:val="24"/>
          <w14:textFill>
            <w14:solidFill>
              <w14:schemeClr w14:val="tx1"/>
            </w14:solidFill>
          </w14:textFill>
        </w:rPr>
        <w:t>因此所遭受的全部损失。我/我单位不通过竞拍活动从事洗钱等违法犯罪活动以及从事其他违反法律、法规及其他规范性文件的活动，并配合履行反洗钱客户身份识别义务。我/我单位进一步向中国长城资产管理股份有限公司山东省分公司承诺，在受让拍卖标的后，我/我单位将自愿独自承担拍卖标的因各种瑕疵导致的预期利益不能实现的风险或损失，不因该等瑕疵或风险而向中国长城资产管理股份有限公司山东省分公司及前手债权人主张任何责任。</w:t>
      </w: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ind w:firstLine="480" w:firstLineChars="200"/>
        <w:rPr>
          <w:rFonts w:ascii="楷体" w:hAnsi="楷体" w:eastAsia="楷体"/>
          <w:color w:val="000000" w:themeColor="text1"/>
          <w:sz w:val="24"/>
          <w14:textFill>
            <w14:solidFill>
              <w14:schemeClr w14:val="tx1"/>
            </w14:solidFill>
          </w14:textFill>
        </w:rPr>
      </w:pPr>
    </w:p>
    <w:p>
      <w:pPr>
        <w:spacing w:line="360" w:lineRule="auto"/>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 xml:space="preserve">           承诺人：</w:t>
      </w:r>
    </w:p>
    <w:p>
      <w:pPr>
        <w:spacing w:line="360" w:lineRule="auto"/>
        <w:ind w:firstLine="3840" w:firstLineChars="160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（承诺人</w:t>
      </w:r>
      <w:r>
        <w:rPr>
          <w:rFonts w:hint="eastAsia" w:ascii="楷体" w:hAnsi="楷体" w:eastAsia="楷体"/>
          <w:color w:val="000000" w:themeColor="text1"/>
          <w:sz w:val="24"/>
          <w14:textFill>
            <w14:solidFill>
              <w14:schemeClr w14:val="tx1"/>
            </w14:solidFill>
          </w14:textFill>
        </w:rPr>
        <w:t>签名或盖</w:t>
      </w:r>
      <w:r>
        <w:rPr>
          <w:rFonts w:ascii="楷体" w:hAnsi="楷体" w:eastAsia="楷体"/>
          <w:color w:val="000000" w:themeColor="text1"/>
          <w:sz w:val="24"/>
          <w14:textFill>
            <w14:solidFill>
              <w14:schemeClr w14:val="tx1"/>
            </w14:solidFill>
          </w14:textFill>
        </w:rPr>
        <w:t>公章）</w:t>
      </w:r>
    </w:p>
    <w:p>
      <w:pPr>
        <w:spacing w:line="360" w:lineRule="auto"/>
        <w:rPr>
          <w:rFonts w:ascii="楷体" w:hAnsi="楷体" w:eastAsia="楷体"/>
          <w:color w:val="000000" w:themeColor="text1"/>
          <w:sz w:val="24"/>
          <w14:textFill>
            <w14:solidFill>
              <w14:schemeClr w14:val="tx1"/>
            </w14:solidFill>
          </w14:textFill>
        </w:rPr>
      </w:pPr>
    </w:p>
    <w:p>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 xml:space="preserve">              </w:t>
      </w:r>
      <w:r>
        <w:rPr>
          <w:rFonts w:ascii="楷体" w:hAnsi="楷体" w:eastAsia="楷体"/>
          <w:color w:val="000000" w:themeColor="text1"/>
          <w:sz w:val="24"/>
          <w14:textFill>
            <w14:solidFill>
              <w14:schemeClr w14:val="tx1"/>
            </w14:solidFill>
          </w14:textFill>
        </w:rPr>
        <w:t xml:space="preserve">       </w:t>
      </w:r>
      <w:r>
        <w:rPr>
          <w:rFonts w:hint="eastAsia" w:ascii="楷体" w:hAnsi="楷体" w:eastAsia="楷体"/>
          <w:color w:val="000000" w:themeColor="text1"/>
          <w:sz w:val="24"/>
          <w14:textFill>
            <w14:solidFill>
              <w14:schemeClr w14:val="tx1"/>
            </w14:solidFill>
          </w14:textFill>
        </w:rPr>
        <w:t xml:space="preserve">         2022</w:t>
      </w:r>
      <w:r>
        <w:rPr>
          <w:rFonts w:ascii="楷体" w:hAnsi="楷体" w:eastAsia="楷体"/>
          <w:color w:val="000000" w:themeColor="text1"/>
          <w:sz w:val="24"/>
          <w14:textFill>
            <w14:solidFill>
              <w14:schemeClr w14:val="tx1"/>
            </w14:solidFill>
          </w14:textFill>
        </w:rPr>
        <w:t xml:space="preserve">年 </w:t>
      </w:r>
      <w:r>
        <w:rPr>
          <w:rFonts w:hint="eastAsia" w:ascii="楷体" w:hAnsi="楷体" w:eastAsia="楷体"/>
          <w:color w:val="000000" w:themeColor="text1"/>
          <w:sz w:val="24"/>
          <w:lang w:val="en-US" w:eastAsia="zh-CN"/>
          <w14:textFill>
            <w14:solidFill>
              <w14:schemeClr w14:val="tx1"/>
            </w14:solidFill>
          </w14:textFill>
        </w:rPr>
        <w:t>1</w:t>
      </w:r>
      <w:r>
        <w:rPr>
          <w:rFonts w:ascii="楷体" w:hAnsi="楷体" w:eastAsia="楷体"/>
          <w:color w:val="000000" w:themeColor="text1"/>
          <w:sz w:val="24"/>
          <w14:textFill>
            <w14:solidFill>
              <w14:schemeClr w14:val="tx1"/>
            </w14:solidFill>
          </w14:textFill>
        </w:rPr>
        <w:t>月</w:t>
      </w:r>
      <w:r>
        <w:rPr>
          <w:rFonts w:hint="eastAsia" w:ascii="楷体" w:hAnsi="楷体" w:eastAsia="楷体"/>
          <w:color w:val="000000" w:themeColor="text1"/>
          <w:sz w:val="24"/>
          <w:lang w:val="en-US" w:eastAsia="zh-CN"/>
          <w14:textFill>
            <w14:solidFill>
              <w14:schemeClr w14:val="tx1"/>
            </w14:solidFill>
          </w14:textFill>
        </w:rPr>
        <w:t>28</w:t>
      </w:r>
      <w:r>
        <w:rPr>
          <w:rFonts w:ascii="楷体" w:hAnsi="楷体" w:eastAsia="楷体"/>
          <w:color w:val="000000" w:themeColor="text1"/>
          <w:sz w:val="24"/>
          <w14:textFill>
            <w14:solidFill>
              <w14:schemeClr w14:val="tx1"/>
            </w14:solidFill>
          </w14:textFill>
        </w:rPr>
        <w:t>日</w:t>
      </w:r>
    </w:p>
    <w:sectPr>
      <w:headerReference r:id="rId6" w:type="default"/>
      <w:footerReference r:id="rId7" w:type="default"/>
      <w:footerReference r:id="rId8"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pStyle w:val="23"/>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21"/>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25"/>
      <w:isLgl/>
      <w:lvlText w:val="%1.%2.%3"/>
      <w:lvlJc w:val="left"/>
      <w:pPr>
        <w:tabs>
          <w:tab w:val="left" w:pos="1969"/>
        </w:tabs>
        <w:ind w:left="1969" w:hanging="709"/>
      </w:pPr>
    </w:lvl>
    <w:lvl w:ilvl="3" w:tentative="0">
      <w:start w:val="1"/>
      <w:numFmt w:val="decimal"/>
      <w:pStyle w:val="26"/>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tentative="0">
      <w:start w:val="0"/>
      <w:numFmt w:val="none"/>
      <w:pStyle w:val="44"/>
      <w:lvlText w:val=""/>
      <w:lvlJc w:val="left"/>
      <w:pPr>
        <w:tabs>
          <w:tab w:val="left" w:pos="360"/>
        </w:tabs>
      </w:pPr>
    </w:lvl>
    <w:lvl w:ilvl="1" w:tentative="0">
      <w:start w:val="1"/>
      <w:numFmt w:val="decimal"/>
      <w:pStyle w:val="45"/>
      <w:lvlText w:val="%1.%2"/>
      <w:lvlJc w:val="left"/>
      <w:pPr>
        <w:tabs>
          <w:tab w:val="left" w:pos="720"/>
        </w:tabs>
        <w:ind w:left="0" w:firstLine="0"/>
      </w:pPr>
      <w:rPr>
        <w:rFonts w:ascii="Times New Roman" w:hAnsi="Times New Roman"/>
        <w:b w:val="0"/>
        <w:i w:val="0"/>
        <w:caps w:val="0"/>
        <w:color w:val="auto"/>
        <w:u w:val="none"/>
      </w:rPr>
    </w:lvl>
    <w:lvl w:ilvl="2" w:tentative="0">
      <w:start w:val="1"/>
      <w:numFmt w:val="lowerLetter"/>
      <w:pStyle w:val="46"/>
      <w:lvlText w:val="(%3)"/>
      <w:lvlJc w:val="left"/>
      <w:pPr>
        <w:tabs>
          <w:tab w:val="left" w:pos="720"/>
        </w:tabs>
        <w:ind w:left="720" w:hanging="720"/>
      </w:pPr>
      <w:rPr>
        <w:rFonts w:ascii="Times New Roman" w:hAnsi="Times New Roman"/>
        <w:b w:val="0"/>
        <w:i w:val="0"/>
        <w:caps w:val="0"/>
        <w:color w:val="auto"/>
        <w:u w:val="none"/>
      </w:rPr>
    </w:lvl>
    <w:lvl w:ilvl="3" w:tentative="0">
      <w:start w:val="1"/>
      <w:numFmt w:val="lowerRoman"/>
      <w:pStyle w:val="47"/>
      <w:lvlText w:val="(%4)"/>
      <w:lvlJc w:val="right"/>
      <w:pPr>
        <w:tabs>
          <w:tab w:val="left" w:pos="1440"/>
        </w:tabs>
        <w:ind w:left="1440" w:hanging="216"/>
      </w:pPr>
      <w:rPr>
        <w:rFonts w:ascii="Times New Roman" w:hAnsi="Times New Roman"/>
        <w:b w:val="0"/>
        <w:i w:val="0"/>
        <w:caps w:val="0"/>
        <w:color w:val="auto"/>
        <w:u w:val="none"/>
      </w:rPr>
    </w:lvl>
    <w:lvl w:ilvl="4" w:tentative="0">
      <w:start w:val="1"/>
      <w:numFmt w:val="upperLetter"/>
      <w:pStyle w:val="48"/>
      <w:lvlText w:val="(%5)"/>
      <w:lvlJc w:val="left"/>
      <w:pPr>
        <w:tabs>
          <w:tab w:val="left" w:pos="2160"/>
        </w:tabs>
        <w:ind w:left="2160" w:hanging="720"/>
      </w:pPr>
      <w:rPr>
        <w:rFonts w:ascii="Times New Roman" w:hAnsi="Times New Roman"/>
        <w:b w:val="0"/>
        <w:i w:val="0"/>
        <w:caps w:val="0"/>
        <w:color w:val="auto"/>
        <w:u w:val="none"/>
      </w:rPr>
    </w:lvl>
    <w:lvl w:ilvl="5" w:tentative="0">
      <w:start w:val="1"/>
      <w:numFmt w:val="upperRoman"/>
      <w:pStyle w:val="49"/>
      <w:lvlText w:val="(%6)"/>
      <w:lvlJc w:val="right"/>
      <w:pPr>
        <w:tabs>
          <w:tab w:val="left" w:pos="2880"/>
        </w:tabs>
        <w:ind w:left="2880" w:hanging="216"/>
      </w:pPr>
      <w:rPr>
        <w:rFonts w:ascii="Times New Roman" w:hAnsi="Times New Roman"/>
        <w:b w:val="0"/>
        <w:i w:val="0"/>
        <w:caps w:val="0"/>
        <w:color w:val="auto"/>
        <w:u w:val="none"/>
      </w:rPr>
    </w:lvl>
    <w:lvl w:ilvl="6" w:tentative="0">
      <w:start w:val="27"/>
      <w:numFmt w:val="lowerLetter"/>
      <w:pStyle w:val="50"/>
      <w:lvlText w:val="(%7)"/>
      <w:lvlJc w:val="left"/>
      <w:pPr>
        <w:tabs>
          <w:tab w:val="left" w:pos="3600"/>
        </w:tabs>
        <w:ind w:left="3600" w:hanging="720"/>
      </w:pPr>
      <w:rPr>
        <w:rFonts w:ascii="Times New Roman" w:hAnsi="Times New Roman"/>
        <w:b w:val="0"/>
        <w:i w:val="0"/>
        <w:caps w:val="0"/>
        <w:color w:val="auto"/>
        <w:u w:val="none"/>
      </w:rPr>
    </w:lvl>
    <w:lvl w:ilvl="7" w:tentative="0">
      <w:start w:val="1"/>
      <w:numFmt w:val="decimal"/>
      <w:pStyle w:val="51"/>
      <w:lvlText w:val="(%8)"/>
      <w:lvlJc w:val="left"/>
      <w:pPr>
        <w:tabs>
          <w:tab w:val="left" w:pos="4320"/>
        </w:tabs>
        <w:ind w:left="4320" w:hanging="720"/>
      </w:pPr>
      <w:rPr>
        <w:rFonts w:ascii="Times New Roman" w:hAnsi="Times New Roman"/>
        <w:b w:val="0"/>
        <w:i w:val="0"/>
        <w:caps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revisionView w:markup="0"/>
  <w:trackRevisions w:val="1"/>
  <w:documentProtection w:enforcement="0"/>
  <w:defaultTabStop w:val="420"/>
  <w:drawingGridHorizontalSpacing w:val="107"/>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0AB970C00009554" w:val=" "/>
    <w:docVar w:name="6184E9570000C48E" w:val=" "/>
    <w:docVar w:name="6184FC7A0000A62A" w:val=" "/>
    <w:docVar w:name="6185008C000075AA" w:val=" "/>
    <w:docVar w:name="61A5EA870000E70E" w:val=" "/>
    <w:docVar w:name="61A5F9A00000E53A" w:val=" "/>
    <w:docVar w:name="61A6D2570000B9EA" w:val=" "/>
    <w:docVar w:name="61A720000000716E" w:val=" "/>
    <w:docVar w:name="61A7268F00007746" w:val=" "/>
    <w:docVar w:name="61F244DF00005F2E" w:val=" "/>
    <w:docVar w:name="61F2475900000B8F" w:val=" "/>
    <w:docVar w:name="61F24A5B00000ED3" w:val=" "/>
    <w:docVar w:name="61F251CE0000E497" w:val=" "/>
  </w:docVars>
  <w:rsids>
    <w:rsidRoot w:val="00172A27"/>
    <w:rsid w:val="000023DF"/>
    <w:rsid w:val="00004588"/>
    <w:rsid w:val="00010010"/>
    <w:rsid w:val="000106CB"/>
    <w:rsid w:val="00017025"/>
    <w:rsid w:val="00017BE0"/>
    <w:rsid w:val="00021C29"/>
    <w:rsid w:val="00027EF9"/>
    <w:rsid w:val="000330D5"/>
    <w:rsid w:val="0003575B"/>
    <w:rsid w:val="00037F2C"/>
    <w:rsid w:val="00041F5A"/>
    <w:rsid w:val="000445AD"/>
    <w:rsid w:val="00045778"/>
    <w:rsid w:val="00052CA2"/>
    <w:rsid w:val="0006012E"/>
    <w:rsid w:val="00067E5E"/>
    <w:rsid w:val="000741ED"/>
    <w:rsid w:val="000851A2"/>
    <w:rsid w:val="00087090"/>
    <w:rsid w:val="0008799E"/>
    <w:rsid w:val="00087D0E"/>
    <w:rsid w:val="00092224"/>
    <w:rsid w:val="000A113B"/>
    <w:rsid w:val="000A5675"/>
    <w:rsid w:val="000A6040"/>
    <w:rsid w:val="000A656E"/>
    <w:rsid w:val="000B20FA"/>
    <w:rsid w:val="000D13C2"/>
    <w:rsid w:val="000D36FD"/>
    <w:rsid w:val="000D572D"/>
    <w:rsid w:val="000D6F36"/>
    <w:rsid w:val="000E65F7"/>
    <w:rsid w:val="000E7784"/>
    <w:rsid w:val="000F02F3"/>
    <w:rsid w:val="000F3B5F"/>
    <w:rsid w:val="00101B9E"/>
    <w:rsid w:val="0010481E"/>
    <w:rsid w:val="001052AE"/>
    <w:rsid w:val="00110892"/>
    <w:rsid w:val="00117211"/>
    <w:rsid w:val="00122907"/>
    <w:rsid w:val="00122B80"/>
    <w:rsid w:val="00136505"/>
    <w:rsid w:val="00137122"/>
    <w:rsid w:val="00143CF3"/>
    <w:rsid w:val="00145BE2"/>
    <w:rsid w:val="00151DF7"/>
    <w:rsid w:val="00155372"/>
    <w:rsid w:val="00161D95"/>
    <w:rsid w:val="00164193"/>
    <w:rsid w:val="00167944"/>
    <w:rsid w:val="00167D6F"/>
    <w:rsid w:val="00170B06"/>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1EA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3560"/>
    <w:rsid w:val="002C40C0"/>
    <w:rsid w:val="002D1C5F"/>
    <w:rsid w:val="002E251B"/>
    <w:rsid w:val="002E6D00"/>
    <w:rsid w:val="002F5B52"/>
    <w:rsid w:val="00315A47"/>
    <w:rsid w:val="003252E0"/>
    <w:rsid w:val="00325AB8"/>
    <w:rsid w:val="0032677D"/>
    <w:rsid w:val="00332372"/>
    <w:rsid w:val="003330EE"/>
    <w:rsid w:val="003409D1"/>
    <w:rsid w:val="003429C2"/>
    <w:rsid w:val="00342F7D"/>
    <w:rsid w:val="00343DB7"/>
    <w:rsid w:val="003450AF"/>
    <w:rsid w:val="00350D93"/>
    <w:rsid w:val="00355C0E"/>
    <w:rsid w:val="00364006"/>
    <w:rsid w:val="00371314"/>
    <w:rsid w:val="00373876"/>
    <w:rsid w:val="003750A5"/>
    <w:rsid w:val="003758BA"/>
    <w:rsid w:val="00377C9C"/>
    <w:rsid w:val="003861C0"/>
    <w:rsid w:val="00397FF0"/>
    <w:rsid w:val="003A4041"/>
    <w:rsid w:val="003B4B6D"/>
    <w:rsid w:val="003C2AB7"/>
    <w:rsid w:val="003C7FC3"/>
    <w:rsid w:val="003D0F55"/>
    <w:rsid w:val="003E174F"/>
    <w:rsid w:val="003E1814"/>
    <w:rsid w:val="003E3B9C"/>
    <w:rsid w:val="004054B0"/>
    <w:rsid w:val="004077E0"/>
    <w:rsid w:val="0043778D"/>
    <w:rsid w:val="00453053"/>
    <w:rsid w:val="00463492"/>
    <w:rsid w:val="00465F5D"/>
    <w:rsid w:val="004667B4"/>
    <w:rsid w:val="00473FEC"/>
    <w:rsid w:val="004806F7"/>
    <w:rsid w:val="00481CE7"/>
    <w:rsid w:val="0048409A"/>
    <w:rsid w:val="00485575"/>
    <w:rsid w:val="00487977"/>
    <w:rsid w:val="00494C15"/>
    <w:rsid w:val="00494C30"/>
    <w:rsid w:val="004967E1"/>
    <w:rsid w:val="004A1BC9"/>
    <w:rsid w:val="004A2F53"/>
    <w:rsid w:val="004B6B88"/>
    <w:rsid w:val="004B7D21"/>
    <w:rsid w:val="004C1A75"/>
    <w:rsid w:val="004C1E09"/>
    <w:rsid w:val="004C23D2"/>
    <w:rsid w:val="004C36FC"/>
    <w:rsid w:val="004C3BC4"/>
    <w:rsid w:val="004C53C6"/>
    <w:rsid w:val="004D6E86"/>
    <w:rsid w:val="004E70A3"/>
    <w:rsid w:val="004F292A"/>
    <w:rsid w:val="004F5A08"/>
    <w:rsid w:val="00522046"/>
    <w:rsid w:val="00522FE2"/>
    <w:rsid w:val="00535DC3"/>
    <w:rsid w:val="00541766"/>
    <w:rsid w:val="00542914"/>
    <w:rsid w:val="00542F85"/>
    <w:rsid w:val="00543A18"/>
    <w:rsid w:val="0054737C"/>
    <w:rsid w:val="00556B0C"/>
    <w:rsid w:val="00557F9C"/>
    <w:rsid w:val="005640EE"/>
    <w:rsid w:val="00570C58"/>
    <w:rsid w:val="0057587E"/>
    <w:rsid w:val="00582CCB"/>
    <w:rsid w:val="005838FF"/>
    <w:rsid w:val="005840A6"/>
    <w:rsid w:val="00584E83"/>
    <w:rsid w:val="00587147"/>
    <w:rsid w:val="00590E90"/>
    <w:rsid w:val="005945AB"/>
    <w:rsid w:val="00595753"/>
    <w:rsid w:val="005978C0"/>
    <w:rsid w:val="005A5EEA"/>
    <w:rsid w:val="005A68AC"/>
    <w:rsid w:val="005B5F2E"/>
    <w:rsid w:val="005B6157"/>
    <w:rsid w:val="005C113B"/>
    <w:rsid w:val="005C57F0"/>
    <w:rsid w:val="005C62DD"/>
    <w:rsid w:val="005D1685"/>
    <w:rsid w:val="005D2EBF"/>
    <w:rsid w:val="005D2FAA"/>
    <w:rsid w:val="005D4184"/>
    <w:rsid w:val="005D64F7"/>
    <w:rsid w:val="005D6FE8"/>
    <w:rsid w:val="005D79EC"/>
    <w:rsid w:val="005E256F"/>
    <w:rsid w:val="005E3E06"/>
    <w:rsid w:val="005E4C79"/>
    <w:rsid w:val="005F20FE"/>
    <w:rsid w:val="005F2482"/>
    <w:rsid w:val="005F4EBC"/>
    <w:rsid w:val="005F74AF"/>
    <w:rsid w:val="005F7948"/>
    <w:rsid w:val="0060389E"/>
    <w:rsid w:val="00605BE9"/>
    <w:rsid w:val="006173F4"/>
    <w:rsid w:val="00623547"/>
    <w:rsid w:val="00634CBC"/>
    <w:rsid w:val="006420FC"/>
    <w:rsid w:val="00647792"/>
    <w:rsid w:val="00650089"/>
    <w:rsid w:val="006529D3"/>
    <w:rsid w:val="00656430"/>
    <w:rsid w:val="006812AD"/>
    <w:rsid w:val="0068367E"/>
    <w:rsid w:val="0069345C"/>
    <w:rsid w:val="006A02C9"/>
    <w:rsid w:val="006A305A"/>
    <w:rsid w:val="006A3394"/>
    <w:rsid w:val="006B6D50"/>
    <w:rsid w:val="006C0255"/>
    <w:rsid w:val="006C27E3"/>
    <w:rsid w:val="006D727F"/>
    <w:rsid w:val="006E19ED"/>
    <w:rsid w:val="007002D7"/>
    <w:rsid w:val="00707DF5"/>
    <w:rsid w:val="00710E99"/>
    <w:rsid w:val="00714B2D"/>
    <w:rsid w:val="00715129"/>
    <w:rsid w:val="00725BAC"/>
    <w:rsid w:val="00731994"/>
    <w:rsid w:val="00733BB4"/>
    <w:rsid w:val="0073649A"/>
    <w:rsid w:val="007414F5"/>
    <w:rsid w:val="00743470"/>
    <w:rsid w:val="00766F6C"/>
    <w:rsid w:val="00770D87"/>
    <w:rsid w:val="00776C81"/>
    <w:rsid w:val="007803D3"/>
    <w:rsid w:val="007803D7"/>
    <w:rsid w:val="00782B26"/>
    <w:rsid w:val="007860AE"/>
    <w:rsid w:val="0078726B"/>
    <w:rsid w:val="00787BF8"/>
    <w:rsid w:val="00795881"/>
    <w:rsid w:val="0079791A"/>
    <w:rsid w:val="007A24E7"/>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4402"/>
    <w:rsid w:val="00826120"/>
    <w:rsid w:val="0083032E"/>
    <w:rsid w:val="00837B7C"/>
    <w:rsid w:val="00860E4F"/>
    <w:rsid w:val="00863CC0"/>
    <w:rsid w:val="00870735"/>
    <w:rsid w:val="008726DF"/>
    <w:rsid w:val="0088772B"/>
    <w:rsid w:val="00890FDB"/>
    <w:rsid w:val="008A0116"/>
    <w:rsid w:val="008A7BF7"/>
    <w:rsid w:val="008B42C5"/>
    <w:rsid w:val="008B44FE"/>
    <w:rsid w:val="008B6E6D"/>
    <w:rsid w:val="008C4541"/>
    <w:rsid w:val="008D34A4"/>
    <w:rsid w:val="008E00CA"/>
    <w:rsid w:val="008E1AB6"/>
    <w:rsid w:val="008E250C"/>
    <w:rsid w:val="008E2DC1"/>
    <w:rsid w:val="008E4BD7"/>
    <w:rsid w:val="008F04A8"/>
    <w:rsid w:val="008F5F99"/>
    <w:rsid w:val="00902752"/>
    <w:rsid w:val="00903A43"/>
    <w:rsid w:val="00904D8E"/>
    <w:rsid w:val="009056E2"/>
    <w:rsid w:val="0090670E"/>
    <w:rsid w:val="009152DD"/>
    <w:rsid w:val="00916050"/>
    <w:rsid w:val="00916912"/>
    <w:rsid w:val="009208C9"/>
    <w:rsid w:val="00920A58"/>
    <w:rsid w:val="00920FE4"/>
    <w:rsid w:val="00923709"/>
    <w:rsid w:val="00925D12"/>
    <w:rsid w:val="00926EAA"/>
    <w:rsid w:val="00941E23"/>
    <w:rsid w:val="00953F1A"/>
    <w:rsid w:val="009562E0"/>
    <w:rsid w:val="0096296B"/>
    <w:rsid w:val="00962BA3"/>
    <w:rsid w:val="009713F2"/>
    <w:rsid w:val="0097418D"/>
    <w:rsid w:val="00987512"/>
    <w:rsid w:val="00987AFE"/>
    <w:rsid w:val="00996147"/>
    <w:rsid w:val="009B2149"/>
    <w:rsid w:val="009C3CA9"/>
    <w:rsid w:val="009C62DC"/>
    <w:rsid w:val="009D35A3"/>
    <w:rsid w:val="009D5B05"/>
    <w:rsid w:val="009E3D09"/>
    <w:rsid w:val="009E3D2D"/>
    <w:rsid w:val="009E5273"/>
    <w:rsid w:val="009E691F"/>
    <w:rsid w:val="009F1E3B"/>
    <w:rsid w:val="009F2758"/>
    <w:rsid w:val="00A01822"/>
    <w:rsid w:val="00A03022"/>
    <w:rsid w:val="00A10E8C"/>
    <w:rsid w:val="00A14B70"/>
    <w:rsid w:val="00A15A33"/>
    <w:rsid w:val="00A22C3F"/>
    <w:rsid w:val="00A24C35"/>
    <w:rsid w:val="00A24E5A"/>
    <w:rsid w:val="00A30EE2"/>
    <w:rsid w:val="00A379D4"/>
    <w:rsid w:val="00A51963"/>
    <w:rsid w:val="00A51CB8"/>
    <w:rsid w:val="00A5632C"/>
    <w:rsid w:val="00A60839"/>
    <w:rsid w:val="00A64C0F"/>
    <w:rsid w:val="00A66A95"/>
    <w:rsid w:val="00A80420"/>
    <w:rsid w:val="00A825FE"/>
    <w:rsid w:val="00A85780"/>
    <w:rsid w:val="00A876FC"/>
    <w:rsid w:val="00AA075F"/>
    <w:rsid w:val="00AA108B"/>
    <w:rsid w:val="00AA11B1"/>
    <w:rsid w:val="00AA24F3"/>
    <w:rsid w:val="00AA2CD5"/>
    <w:rsid w:val="00AA7F21"/>
    <w:rsid w:val="00AB79C4"/>
    <w:rsid w:val="00AC43A7"/>
    <w:rsid w:val="00AD012F"/>
    <w:rsid w:val="00AD55AC"/>
    <w:rsid w:val="00AD7F51"/>
    <w:rsid w:val="00AE730F"/>
    <w:rsid w:val="00AF4A56"/>
    <w:rsid w:val="00AF5F5E"/>
    <w:rsid w:val="00B0549D"/>
    <w:rsid w:val="00B21961"/>
    <w:rsid w:val="00B21D16"/>
    <w:rsid w:val="00B24564"/>
    <w:rsid w:val="00B24684"/>
    <w:rsid w:val="00B250E0"/>
    <w:rsid w:val="00B31B33"/>
    <w:rsid w:val="00B32E6D"/>
    <w:rsid w:val="00B3518C"/>
    <w:rsid w:val="00B4013C"/>
    <w:rsid w:val="00B417AD"/>
    <w:rsid w:val="00B45FD7"/>
    <w:rsid w:val="00B520CA"/>
    <w:rsid w:val="00B54FE0"/>
    <w:rsid w:val="00B56F2E"/>
    <w:rsid w:val="00B638DD"/>
    <w:rsid w:val="00B73E26"/>
    <w:rsid w:val="00B749CF"/>
    <w:rsid w:val="00B8256D"/>
    <w:rsid w:val="00B96926"/>
    <w:rsid w:val="00BA0F4B"/>
    <w:rsid w:val="00BA20F2"/>
    <w:rsid w:val="00BA44EE"/>
    <w:rsid w:val="00BB0FF3"/>
    <w:rsid w:val="00BB3D28"/>
    <w:rsid w:val="00BC3072"/>
    <w:rsid w:val="00BC657E"/>
    <w:rsid w:val="00BD14D5"/>
    <w:rsid w:val="00BD2C9A"/>
    <w:rsid w:val="00BD7EA2"/>
    <w:rsid w:val="00BE359F"/>
    <w:rsid w:val="00BF1364"/>
    <w:rsid w:val="00BF3233"/>
    <w:rsid w:val="00BF50FA"/>
    <w:rsid w:val="00C014BD"/>
    <w:rsid w:val="00C01E21"/>
    <w:rsid w:val="00C03603"/>
    <w:rsid w:val="00C04C1C"/>
    <w:rsid w:val="00C05CF8"/>
    <w:rsid w:val="00C06A60"/>
    <w:rsid w:val="00C06FE2"/>
    <w:rsid w:val="00C13F8F"/>
    <w:rsid w:val="00C21E0E"/>
    <w:rsid w:val="00C320FF"/>
    <w:rsid w:val="00C323C4"/>
    <w:rsid w:val="00C459C0"/>
    <w:rsid w:val="00C47829"/>
    <w:rsid w:val="00C50F1F"/>
    <w:rsid w:val="00C55D8D"/>
    <w:rsid w:val="00C624F1"/>
    <w:rsid w:val="00C63002"/>
    <w:rsid w:val="00C6439A"/>
    <w:rsid w:val="00C81371"/>
    <w:rsid w:val="00C83982"/>
    <w:rsid w:val="00C85B89"/>
    <w:rsid w:val="00C87465"/>
    <w:rsid w:val="00CA1BFB"/>
    <w:rsid w:val="00CA4637"/>
    <w:rsid w:val="00CA4B9C"/>
    <w:rsid w:val="00CA598F"/>
    <w:rsid w:val="00CB22C6"/>
    <w:rsid w:val="00CC0696"/>
    <w:rsid w:val="00CC0B45"/>
    <w:rsid w:val="00CC1032"/>
    <w:rsid w:val="00CC2748"/>
    <w:rsid w:val="00CC718C"/>
    <w:rsid w:val="00CD16A8"/>
    <w:rsid w:val="00CD4241"/>
    <w:rsid w:val="00CD5749"/>
    <w:rsid w:val="00CE2CD6"/>
    <w:rsid w:val="00CE3420"/>
    <w:rsid w:val="00CF416F"/>
    <w:rsid w:val="00CF5917"/>
    <w:rsid w:val="00CF6D25"/>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0C9A"/>
    <w:rsid w:val="00D761CA"/>
    <w:rsid w:val="00D7682E"/>
    <w:rsid w:val="00D866BB"/>
    <w:rsid w:val="00D94F3E"/>
    <w:rsid w:val="00DA2606"/>
    <w:rsid w:val="00DA30A2"/>
    <w:rsid w:val="00DA7851"/>
    <w:rsid w:val="00DB15B6"/>
    <w:rsid w:val="00DB6D16"/>
    <w:rsid w:val="00DC2982"/>
    <w:rsid w:val="00DC420C"/>
    <w:rsid w:val="00DD3AB7"/>
    <w:rsid w:val="00DD4D2D"/>
    <w:rsid w:val="00DE0135"/>
    <w:rsid w:val="00DE4942"/>
    <w:rsid w:val="00DE4EA6"/>
    <w:rsid w:val="00DE6C6A"/>
    <w:rsid w:val="00DF2895"/>
    <w:rsid w:val="00E011B0"/>
    <w:rsid w:val="00E01D93"/>
    <w:rsid w:val="00E069C8"/>
    <w:rsid w:val="00E17425"/>
    <w:rsid w:val="00E304E9"/>
    <w:rsid w:val="00E30BBE"/>
    <w:rsid w:val="00E30E22"/>
    <w:rsid w:val="00E41128"/>
    <w:rsid w:val="00E42184"/>
    <w:rsid w:val="00E459DD"/>
    <w:rsid w:val="00E47DFA"/>
    <w:rsid w:val="00E51D01"/>
    <w:rsid w:val="00E53919"/>
    <w:rsid w:val="00E64C1D"/>
    <w:rsid w:val="00E65F62"/>
    <w:rsid w:val="00E66777"/>
    <w:rsid w:val="00E743A5"/>
    <w:rsid w:val="00E84FB8"/>
    <w:rsid w:val="00E95F89"/>
    <w:rsid w:val="00E97908"/>
    <w:rsid w:val="00EB1096"/>
    <w:rsid w:val="00EB4E04"/>
    <w:rsid w:val="00EC0E93"/>
    <w:rsid w:val="00EC2D1E"/>
    <w:rsid w:val="00EC36F9"/>
    <w:rsid w:val="00EC6AE9"/>
    <w:rsid w:val="00EC7D2F"/>
    <w:rsid w:val="00ED1319"/>
    <w:rsid w:val="00ED42DD"/>
    <w:rsid w:val="00ED6A32"/>
    <w:rsid w:val="00EE360E"/>
    <w:rsid w:val="00EF3650"/>
    <w:rsid w:val="00F008A6"/>
    <w:rsid w:val="00F01186"/>
    <w:rsid w:val="00F02BD0"/>
    <w:rsid w:val="00F1229F"/>
    <w:rsid w:val="00F1794C"/>
    <w:rsid w:val="00F22307"/>
    <w:rsid w:val="00F2358A"/>
    <w:rsid w:val="00F2462E"/>
    <w:rsid w:val="00F2476D"/>
    <w:rsid w:val="00F25B2B"/>
    <w:rsid w:val="00F25F77"/>
    <w:rsid w:val="00F26A36"/>
    <w:rsid w:val="00F32580"/>
    <w:rsid w:val="00F4389E"/>
    <w:rsid w:val="00F43908"/>
    <w:rsid w:val="00F476CB"/>
    <w:rsid w:val="00F54B69"/>
    <w:rsid w:val="00F56473"/>
    <w:rsid w:val="00F64FA4"/>
    <w:rsid w:val="00F84CA7"/>
    <w:rsid w:val="00F85DEA"/>
    <w:rsid w:val="00F9757E"/>
    <w:rsid w:val="00FA2F22"/>
    <w:rsid w:val="00FB2C76"/>
    <w:rsid w:val="00FB5493"/>
    <w:rsid w:val="00FB61E3"/>
    <w:rsid w:val="00FC3579"/>
    <w:rsid w:val="00FC37F0"/>
    <w:rsid w:val="00FC4B95"/>
    <w:rsid w:val="00FC764C"/>
    <w:rsid w:val="00FD1229"/>
    <w:rsid w:val="00FD3790"/>
    <w:rsid w:val="00FD6D8C"/>
    <w:rsid w:val="00FE1BB4"/>
    <w:rsid w:val="00FF657B"/>
    <w:rsid w:val="00FF7D77"/>
    <w:rsid w:val="01456804"/>
    <w:rsid w:val="01F14B37"/>
    <w:rsid w:val="03014A45"/>
    <w:rsid w:val="032219DA"/>
    <w:rsid w:val="033D201E"/>
    <w:rsid w:val="04092ECD"/>
    <w:rsid w:val="041736F8"/>
    <w:rsid w:val="04587E37"/>
    <w:rsid w:val="04E63A35"/>
    <w:rsid w:val="055C68B0"/>
    <w:rsid w:val="056C0771"/>
    <w:rsid w:val="05764D8B"/>
    <w:rsid w:val="058D30FF"/>
    <w:rsid w:val="05F74B65"/>
    <w:rsid w:val="063D7668"/>
    <w:rsid w:val="065D6B52"/>
    <w:rsid w:val="06E42EB2"/>
    <w:rsid w:val="07324868"/>
    <w:rsid w:val="07554F5D"/>
    <w:rsid w:val="0768024C"/>
    <w:rsid w:val="07F175E3"/>
    <w:rsid w:val="083712AD"/>
    <w:rsid w:val="08A90513"/>
    <w:rsid w:val="08CB0512"/>
    <w:rsid w:val="091A43B7"/>
    <w:rsid w:val="0924794D"/>
    <w:rsid w:val="098C30A7"/>
    <w:rsid w:val="099424C2"/>
    <w:rsid w:val="09CC250D"/>
    <w:rsid w:val="09EC6AE4"/>
    <w:rsid w:val="0A216FA6"/>
    <w:rsid w:val="0AAA6679"/>
    <w:rsid w:val="0B232118"/>
    <w:rsid w:val="0B596BEE"/>
    <w:rsid w:val="0C937AC4"/>
    <w:rsid w:val="0CF3453C"/>
    <w:rsid w:val="0DF625DB"/>
    <w:rsid w:val="0DF66E50"/>
    <w:rsid w:val="0EA6712F"/>
    <w:rsid w:val="0ECC7204"/>
    <w:rsid w:val="0FB174AF"/>
    <w:rsid w:val="0FD625E0"/>
    <w:rsid w:val="10264E22"/>
    <w:rsid w:val="10D45C33"/>
    <w:rsid w:val="12406EA1"/>
    <w:rsid w:val="13094EA9"/>
    <w:rsid w:val="150D0031"/>
    <w:rsid w:val="152631A5"/>
    <w:rsid w:val="15D272B4"/>
    <w:rsid w:val="15E77B94"/>
    <w:rsid w:val="160E4B3C"/>
    <w:rsid w:val="165F1436"/>
    <w:rsid w:val="17C97A1E"/>
    <w:rsid w:val="17E34274"/>
    <w:rsid w:val="180358C6"/>
    <w:rsid w:val="181C3F26"/>
    <w:rsid w:val="18302C7C"/>
    <w:rsid w:val="184B7833"/>
    <w:rsid w:val="184E1321"/>
    <w:rsid w:val="187B0475"/>
    <w:rsid w:val="18E23B5A"/>
    <w:rsid w:val="19260DCD"/>
    <w:rsid w:val="193970E5"/>
    <w:rsid w:val="1AB9254B"/>
    <w:rsid w:val="1AFB33FF"/>
    <w:rsid w:val="1B0B4838"/>
    <w:rsid w:val="1B795957"/>
    <w:rsid w:val="1B957436"/>
    <w:rsid w:val="1B9D00F7"/>
    <w:rsid w:val="1BEC1940"/>
    <w:rsid w:val="1CFF37DA"/>
    <w:rsid w:val="1DC86FC1"/>
    <w:rsid w:val="1E4B69B6"/>
    <w:rsid w:val="1F220842"/>
    <w:rsid w:val="1FD66B8E"/>
    <w:rsid w:val="200E7DCB"/>
    <w:rsid w:val="20E16A31"/>
    <w:rsid w:val="21802B67"/>
    <w:rsid w:val="219C0F0F"/>
    <w:rsid w:val="225108B6"/>
    <w:rsid w:val="226E78E8"/>
    <w:rsid w:val="22D8409C"/>
    <w:rsid w:val="22F9131A"/>
    <w:rsid w:val="23163A0D"/>
    <w:rsid w:val="231C185E"/>
    <w:rsid w:val="23912FEF"/>
    <w:rsid w:val="23F51F75"/>
    <w:rsid w:val="24423983"/>
    <w:rsid w:val="24497039"/>
    <w:rsid w:val="2469147F"/>
    <w:rsid w:val="247922AB"/>
    <w:rsid w:val="24BD133F"/>
    <w:rsid w:val="24DA4E07"/>
    <w:rsid w:val="2507195A"/>
    <w:rsid w:val="25074D53"/>
    <w:rsid w:val="25EA3A37"/>
    <w:rsid w:val="26157E4D"/>
    <w:rsid w:val="26496D71"/>
    <w:rsid w:val="265626C3"/>
    <w:rsid w:val="26570547"/>
    <w:rsid w:val="26763B98"/>
    <w:rsid w:val="2800632F"/>
    <w:rsid w:val="28167C05"/>
    <w:rsid w:val="281B3053"/>
    <w:rsid w:val="285252EB"/>
    <w:rsid w:val="287B3DDA"/>
    <w:rsid w:val="28AF075C"/>
    <w:rsid w:val="29105F83"/>
    <w:rsid w:val="29423FFB"/>
    <w:rsid w:val="296571DE"/>
    <w:rsid w:val="29B96946"/>
    <w:rsid w:val="29D00617"/>
    <w:rsid w:val="29EC1914"/>
    <w:rsid w:val="2ADD44A1"/>
    <w:rsid w:val="2BB0602A"/>
    <w:rsid w:val="2BEF491E"/>
    <w:rsid w:val="2C5C73F1"/>
    <w:rsid w:val="2D272D32"/>
    <w:rsid w:val="2D276006"/>
    <w:rsid w:val="2D625795"/>
    <w:rsid w:val="2DF556E6"/>
    <w:rsid w:val="2E067E91"/>
    <w:rsid w:val="2E3A6024"/>
    <w:rsid w:val="2EF0258B"/>
    <w:rsid w:val="2F937767"/>
    <w:rsid w:val="2FEC6EE5"/>
    <w:rsid w:val="2FF46A9E"/>
    <w:rsid w:val="30B036F1"/>
    <w:rsid w:val="32124EFA"/>
    <w:rsid w:val="330F3C36"/>
    <w:rsid w:val="338B01B2"/>
    <w:rsid w:val="350A7347"/>
    <w:rsid w:val="359601EC"/>
    <w:rsid w:val="359E15E2"/>
    <w:rsid w:val="3663231F"/>
    <w:rsid w:val="366D4F01"/>
    <w:rsid w:val="36E75D76"/>
    <w:rsid w:val="371D6D8F"/>
    <w:rsid w:val="38C74D76"/>
    <w:rsid w:val="3936431C"/>
    <w:rsid w:val="3A843BCB"/>
    <w:rsid w:val="3AD567EB"/>
    <w:rsid w:val="3B4723C3"/>
    <w:rsid w:val="3B9551F8"/>
    <w:rsid w:val="3BC208BF"/>
    <w:rsid w:val="3C024DA0"/>
    <w:rsid w:val="3CD81619"/>
    <w:rsid w:val="3D1D5DFA"/>
    <w:rsid w:val="3D246B8A"/>
    <w:rsid w:val="3D7071E3"/>
    <w:rsid w:val="3D7F369F"/>
    <w:rsid w:val="3DBB70AA"/>
    <w:rsid w:val="3DFA0EBD"/>
    <w:rsid w:val="3E323286"/>
    <w:rsid w:val="3E5F2DF9"/>
    <w:rsid w:val="3E911633"/>
    <w:rsid w:val="3E9D5A21"/>
    <w:rsid w:val="3F33649E"/>
    <w:rsid w:val="409944E4"/>
    <w:rsid w:val="40A557D8"/>
    <w:rsid w:val="40E87FF6"/>
    <w:rsid w:val="41EC0269"/>
    <w:rsid w:val="42506A56"/>
    <w:rsid w:val="426D7600"/>
    <w:rsid w:val="430A6E5E"/>
    <w:rsid w:val="44244137"/>
    <w:rsid w:val="44275AFE"/>
    <w:rsid w:val="45711242"/>
    <w:rsid w:val="45A12C45"/>
    <w:rsid w:val="45CB456A"/>
    <w:rsid w:val="460E2A7A"/>
    <w:rsid w:val="46DD3121"/>
    <w:rsid w:val="47086BC4"/>
    <w:rsid w:val="47893A2F"/>
    <w:rsid w:val="48AA0BA1"/>
    <w:rsid w:val="49236EBD"/>
    <w:rsid w:val="49DD3442"/>
    <w:rsid w:val="49FF369F"/>
    <w:rsid w:val="4A0610AE"/>
    <w:rsid w:val="4A212D1B"/>
    <w:rsid w:val="4B87513B"/>
    <w:rsid w:val="4BFF732B"/>
    <w:rsid w:val="4CF51E02"/>
    <w:rsid w:val="4D627BB7"/>
    <w:rsid w:val="4DB63494"/>
    <w:rsid w:val="4DD47CE0"/>
    <w:rsid w:val="4E2F6BF3"/>
    <w:rsid w:val="4E562B00"/>
    <w:rsid w:val="4ED37630"/>
    <w:rsid w:val="4F976567"/>
    <w:rsid w:val="50413AFE"/>
    <w:rsid w:val="50877294"/>
    <w:rsid w:val="51B2633D"/>
    <w:rsid w:val="51CA20BB"/>
    <w:rsid w:val="529C7064"/>
    <w:rsid w:val="53AF65CE"/>
    <w:rsid w:val="546502B0"/>
    <w:rsid w:val="55C03D33"/>
    <w:rsid w:val="57682A16"/>
    <w:rsid w:val="57DB0E36"/>
    <w:rsid w:val="582E5B81"/>
    <w:rsid w:val="58DD5EFD"/>
    <w:rsid w:val="59790498"/>
    <w:rsid w:val="59922A02"/>
    <w:rsid w:val="5A062E90"/>
    <w:rsid w:val="5A27654B"/>
    <w:rsid w:val="5A395D18"/>
    <w:rsid w:val="5B0E19B0"/>
    <w:rsid w:val="5B442CB0"/>
    <w:rsid w:val="5C87779D"/>
    <w:rsid w:val="5C985C6C"/>
    <w:rsid w:val="5D747ECD"/>
    <w:rsid w:val="5DD70865"/>
    <w:rsid w:val="5DE31A8A"/>
    <w:rsid w:val="5EB76368"/>
    <w:rsid w:val="5EE47B70"/>
    <w:rsid w:val="5F6547F1"/>
    <w:rsid w:val="5F693C29"/>
    <w:rsid w:val="60FB536D"/>
    <w:rsid w:val="61AA06DF"/>
    <w:rsid w:val="62AD6E4A"/>
    <w:rsid w:val="63766BE7"/>
    <w:rsid w:val="63893783"/>
    <w:rsid w:val="642E0ABF"/>
    <w:rsid w:val="646B6F71"/>
    <w:rsid w:val="64AB7C4B"/>
    <w:rsid w:val="64C40B6D"/>
    <w:rsid w:val="65290FCA"/>
    <w:rsid w:val="652F4D82"/>
    <w:rsid w:val="6617529E"/>
    <w:rsid w:val="662D1681"/>
    <w:rsid w:val="668C7FC7"/>
    <w:rsid w:val="66CC5C61"/>
    <w:rsid w:val="672308C5"/>
    <w:rsid w:val="677F24F2"/>
    <w:rsid w:val="67CB3027"/>
    <w:rsid w:val="67CD21C7"/>
    <w:rsid w:val="68086CDB"/>
    <w:rsid w:val="6960019F"/>
    <w:rsid w:val="69AC3B69"/>
    <w:rsid w:val="69F763DB"/>
    <w:rsid w:val="6A1B1217"/>
    <w:rsid w:val="6A4E1AAA"/>
    <w:rsid w:val="6AB10C8F"/>
    <w:rsid w:val="6B147E71"/>
    <w:rsid w:val="6BB06A0F"/>
    <w:rsid w:val="6BEA5B87"/>
    <w:rsid w:val="6C092AC1"/>
    <w:rsid w:val="6CAE43DA"/>
    <w:rsid w:val="6D105407"/>
    <w:rsid w:val="6E571A90"/>
    <w:rsid w:val="6E71706A"/>
    <w:rsid w:val="6F171B2E"/>
    <w:rsid w:val="7038463C"/>
    <w:rsid w:val="704740CE"/>
    <w:rsid w:val="705C4175"/>
    <w:rsid w:val="70695A53"/>
    <w:rsid w:val="707347C0"/>
    <w:rsid w:val="724B7E97"/>
    <w:rsid w:val="73C42536"/>
    <w:rsid w:val="74130586"/>
    <w:rsid w:val="741F22F6"/>
    <w:rsid w:val="746E4C1D"/>
    <w:rsid w:val="752F557E"/>
    <w:rsid w:val="75E91765"/>
    <w:rsid w:val="76203971"/>
    <w:rsid w:val="76D95937"/>
    <w:rsid w:val="78386C0B"/>
    <w:rsid w:val="78C806CC"/>
    <w:rsid w:val="78EE04F5"/>
    <w:rsid w:val="7A4D04ED"/>
    <w:rsid w:val="7ACF0AF2"/>
    <w:rsid w:val="7B047D56"/>
    <w:rsid w:val="7C0D1BD0"/>
    <w:rsid w:val="7C540898"/>
    <w:rsid w:val="7C6A6587"/>
    <w:rsid w:val="7DD22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Document Map"/>
    <w:basedOn w:val="1"/>
    <w:link w:val="32"/>
    <w:semiHidden/>
    <w:qFormat/>
    <w:uiPriority w:val="0"/>
    <w:pPr>
      <w:shd w:val="clear" w:color="auto" w:fill="000080"/>
    </w:pPr>
  </w:style>
  <w:style w:type="paragraph" w:styleId="4">
    <w:name w:val="annotation text"/>
    <w:basedOn w:val="1"/>
    <w:link w:val="30"/>
    <w:unhideWhenUsed/>
    <w:qFormat/>
    <w:uiPriority w:val="0"/>
    <w:pPr>
      <w:jc w:val="left"/>
    </w:pPr>
  </w:style>
  <w:style w:type="paragraph" w:styleId="5">
    <w:name w:val="Body Text Indent"/>
    <w:basedOn w:val="1"/>
    <w:link w:val="41"/>
    <w:qFormat/>
    <w:uiPriority w:val="0"/>
    <w:pPr>
      <w:spacing w:line="360" w:lineRule="auto"/>
      <w:ind w:left="360"/>
    </w:pPr>
    <w:rPr>
      <w:rFonts w:ascii="宋体"/>
      <w:sz w:val="24"/>
      <w:szCs w:val="20"/>
    </w:rPr>
  </w:style>
  <w:style w:type="paragraph" w:styleId="6">
    <w:name w:val="Date"/>
    <w:basedOn w:val="1"/>
    <w:next w:val="1"/>
    <w:link w:val="33"/>
    <w:qFormat/>
    <w:uiPriority w:val="0"/>
    <w:pPr>
      <w:ind w:left="100" w:leftChars="2500"/>
    </w:pPr>
  </w:style>
  <w:style w:type="paragraph" w:styleId="7">
    <w:name w:val="Body Text Indent 2"/>
    <w:basedOn w:val="1"/>
    <w:link w:val="43"/>
    <w:qFormat/>
    <w:uiPriority w:val="0"/>
    <w:pPr>
      <w:spacing w:after="120" w:line="480" w:lineRule="auto"/>
      <w:ind w:left="420" w:leftChars="200"/>
    </w:pPr>
  </w:style>
  <w:style w:type="paragraph" w:styleId="8">
    <w:name w:val="Balloon Text"/>
    <w:basedOn w:val="1"/>
    <w:link w:val="40"/>
    <w:qFormat/>
    <w:uiPriority w:val="0"/>
    <w:rPr>
      <w:sz w:val="18"/>
      <w:szCs w:val="18"/>
    </w:rPr>
  </w:style>
  <w:style w:type="paragraph" w:styleId="9">
    <w:name w:val="footer"/>
    <w:basedOn w:val="1"/>
    <w:link w:val="36"/>
    <w:qFormat/>
    <w:uiPriority w:val="0"/>
    <w:pPr>
      <w:tabs>
        <w:tab w:val="center" w:pos="4153"/>
        <w:tab w:val="right" w:pos="8306"/>
      </w:tabs>
      <w:snapToGrid w:val="0"/>
      <w:jc w:val="left"/>
    </w:pPr>
    <w:rPr>
      <w:sz w:val="18"/>
      <w:szCs w:val="18"/>
    </w:rPr>
  </w:style>
  <w:style w:type="paragraph" w:styleId="10">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34"/>
    <w:qFormat/>
    <w:uiPriority w:val="0"/>
    <w:pPr>
      <w:spacing w:after="120"/>
      <w:ind w:left="420" w:leftChars="200"/>
    </w:pPr>
    <w:rPr>
      <w:sz w:val="16"/>
      <w:szCs w:val="16"/>
    </w:rPr>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unhideWhenUsed/>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unhideWhenUsed/>
    <w:qFormat/>
    <w:uiPriority w:val="0"/>
    <w:rPr>
      <w:sz w:val="21"/>
      <w:szCs w:val="21"/>
    </w:rPr>
  </w:style>
  <w:style w:type="paragraph" w:customStyle="1" w:styleId="20">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21">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22">
    <w:name w:val="Char"/>
    <w:basedOn w:val="1"/>
    <w:qFormat/>
    <w:uiPriority w:val="0"/>
  </w:style>
  <w:style w:type="paragraph" w:customStyle="1" w:styleId="23">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24">
    <w:name w:val="默认段落字体 Para Char Char Char Char Char Char Char"/>
    <w:basedOn w:val="1"/>
    <w:qFormat/>
    <w:uiPriority w:val="0"/>
    <w:rPr>
      <w:rFonts w:ascii="Tahoma" w:hAnsi="Tahoma"/>
      <w:sz w:val="24"/>
      <w:szCs w:val="20"/>
    </w:rPr>
  </w:style>
  <w:style w:type="paragraph" w:customStyle="1" w:styleId="25">
    <w:name w:val="NT三级目录"/>
    <w:basedOn w:val="1"/>
    <w:link w:val="27"/>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6">
    <w:name w:val="NT四级目录"/>
    <w:basedOn w:val="25"/>
    <w:qFormat/>
    <w:uiPriority w:val="0"/>
    <w:pPr>
      <w:numPr>
        <w:ilvl w:val="3"/>
      </w:numPr>
      <w:tabs>
        <w:tab w:val="left" w:pos="360"/>
        <w:tab w:val="left" w:pos="1800"/>
        <w:tab w:val="left" w:pos="2160"/>
      </w:tabs>
      <w:ind w:left="1800" w:hanging="1080"/>
    </w:pPr>
  </w:style>
  <w:style w:type="character" w:customStyle="1" w:styleId="27">
    <w:name w:val="NT三级目录 Char Char"/>
    <w:link w:val="25"/>
    <w:qFormat/>
    <w:uiPriority w:val="0"/>
    <w:rPr>
      <w:rFonts w:ascii="华文细黑" w:hAnsi="华文细黑" w:eastAsia="华文细黑"/>
      <w:kern w:val="2"/>
      <w:sz w:val="22"/>
      <w:szCs w:val="22"/>
      <w:lang w:val="en-US" w:eastAsia="zh-CN" w:bidi="ar-SA"/>
    </w:rPr>
  </w:style>
  <w:style w:type="character" w:customStyle="1" w:styleId="28">
    <w:name w:val="批注主题 Char"/>
    <w:link w:val="14"/>
    <w:semiHidden/>
    <w:qFormat/>
    <w:uiPriority w:val="0"/>
    <w:rPr>
      <w:b/>
      <w:bCs/>
      <w:kern w:val="2"/>
      <w:sz w:val="21"/>
      <w:szCs w:val="24"/>
    </w:rPr>
  </w:style>
  <w:style w:type="character" w:customStyle="1" w:styleId="29">
    <w:name w:val="标题 1 Char"/>
    <w:link w:val="2"/>
    <w:qFormat/>
    <w:uiPriority w:val="0"/>
    <w:rPr>
      <w:rFonts w:eastAsia="楷体_GB2312"/>
      <w:b/>
      <w:bCs/>
      <w:color w:val="000000"/>
      <w:kern w:val="2"/>
      <w:sz w:val="24"/>
      <w:szCs w:val="24"/>
      <w:lang w:val="en-US" w:eastAsia="zh-CN" w:bidi="ar-SA"/>
    </w:rPr>
  </w:style>
  <w:style w:type="character" w:customStyle="1" w:styleId="30">
    <w:name w:val="批注文字 Char"/>
    <w:link w:val="4"/>
    <w:semiHidden/>
    <w:qFormat/>
    <w:uiPriority w:val="0"/>
    <w:rPr>
      <w:kern w:val="2"/>
      <w:sz w:val="21"/>
      <w:szCs w:val="24"/>
    </w:rPr>
  </w:style>
  <w:style w:type="paragraph" w:styleId="31">
    <w:name w:val="List Paragraph"/>
    <w:basedOn w:val="1"/>
    <w:unhideWhenUsed/>
    <w:qFormat/>
    <w:uiPriority w:val="99"/>
    <w:pPr>
      <w:ind w:firstLine="420" w:firstLineChars="200"/>
    </w:pPr>
  </w:style>
  <w:style w:type="character" w:customStyle="1" w:styleId="32">
    <w:name w:val="文档结构图 Char"/>
    <w:basedOn w:val="17"/>
    <w:link w:val="3"/>
    <w:semiHidden/>
    <w:qFormat/>
    <w:uiPriority w:val="0"/>
    <w:rPr>
      <w:kern w:val="2"/>
      <w:sz w:val="21"/>
      <w:szCs w:val="24"/>
      <w:shd w:val="clear" w:color="auto" w:fill="000080"/>
    </w:rPr>
  </w:style>
  <w:style w:type="character" w:customStyle="1" w:styleId="33">
    <w:name w:val="日期 Char"/>
    <w:basedOn w:val="17"/>
    <w:link w:val="6"/>
    <w:qFormat/>
    <w:uiPriority w:val="0"/>
    <w:rPr>
      <w:kern w:val="2"/>
      <w:sz w:val="21"/>
      <w:szCs w:val="24"/>
    </w:rPr>
  </w:style>
  <w:style w:type="character" w:customStyle="1" w:styleId="34">
    <w:name w:val="正文文本缩进 3 Char"/>
    <w:basedOn w:val="17"/>
    <w:link w:val="11"/>
    <w:qFormat/>
    <w:uiPriority w:val="0"/>
    <w:rPr>
      <w:kern w:val="2"/>
      <w:sz w:val="16"/>
      <w:szCs w:val="16"/>
    </w:rPr>
  </w:style>
  <w:style w:type="character" w:customStyle="1" w:styleId="35">
    <w:name w:val="页眉 Char"/>
    <w:basedOn w:val="17"/>
    <w:link w:val="10"/>
    <w:qFormat/>
    <w:uiPriority w:val="0"/>
    <w:rPr>
      <w:kern w:val="2"/>
      <w:sz w:val="18"/>
      <w:szCs w:val="18"/>
    </w:rPr>
  </w:style>
  <w:style w:type="character" w:customStyle="1" w:styleId="36">
    <w:name w:val="页脚 Char"/>
    <w:basedOn w:val="17"/>
    <w:link w:val="9"/>
    <w:qFormat/>
    <w:uiPriority w:val="0"/>
    <w:rPr>
      <w:kern w:val="2"/>
      <w:sz w:val="18"/>
      <w:szCs w:val="18"/>
    </w:rPr>
  </w:style>
  <w:style w:type="paragraph" w:customStyle="1" w:styleId="37">
    <w:name w:val="b1"/>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38">
    <w:name w:val="1"/>
    <w:basedOn w:val="1"/>
    <w:next w:val="13"/>
    <w:qFormat/>
    <w:uiPriority w:val="0"/>
    <w:pPr>
      <w:widowControl/>
      <w:spacing w:before="100" w:beforeAutospacing="1" w:after="100" w:afterAutospacing="1"/>
      <w:jc w:val="left"/>
    </w:pPr>
    <w:rPr>
      <w:rFonts w:ascii="宋体" w:hAnsi="宋体"/>
      <w:kern w:val="0"/>
      <w:szCs w:val="21"/>
    </w:rPr>
  </w:style>
  <w:style w:type="paragraph" w:customStyle="1" w:styleId="39">
    <w:name w:val="中文格式"/>
    <w:basedOn w:val="1"/>
    <w:qFormat/>
    <w:uiPriority w:val="0"/>
    <w:pPr>
      <w:autoSpaceDE w:val="0"/>
      <w:autoSpaceDN w:val="0"/>
      <w:adjustRightInd w:val="0"/>
      <w:spacing w:line="360" w:lineRule="auto"/>
      <w:ind w:right="288"/>
      <w:textAlignment w:val="baseline"/>
    </w:pPr>
    <w:rPr>
      <w:rFonts w:ascii="宋体"/>
      <w:kern w:val="0"/>
      <w:sz w:val="24"/>
      <w:szCs w:val="20"/>
    </w:rPr>
  </w:style>
  <w:style w:type="character" w:customStyle="1" w:styleId="40">
    <w:name w:val="批注框文本 Char"/>
    <w:basedOn w:val="17"/>
    <w:link w:val="8"/>
    <w:qFormat/>
    <w:uiPriority w:val="0"/>
    <w:rPr>
      <w:kern w:val="2"/>
      <w:sz w:val="18"/>
      <w:szCs w:val="18"/>
    </w:rPr>
  </w:style>
  <w:style w:type="character" w:customStyle="1" w:styleId="41">
    <w:name w:val="正文文本缩进 Char"/>
    <w:basedOn w:val="17"/>
    <w:link w:val="5"/>
    <w:qFormat/>
    <w:uiPriority w:val="0"/>
    <w:rPr>
      <w:rFonts w:ascii="宋体"/>
      <w:kern w:val="2"/>
      <w:sz w:val="24"/>
    </w:rPr>
  </w:style>
  <w:style w:type="character" w:customStyle="1" w:styleId="42">
    <w:name w:val="NT三级目录 Char"/>
    <w:qFormat/>
    <w:uiPriority w:val="0"/>
    <w:rPr>
      <w:rFonts w:ascii="华文细黑" w:hAnsi="华文细黑" w:eastAsia="华文细黑" w:cs="Times New Roman"/>
      <w:sz w:val="22"/>
    </w:rPr>
  </w:style>
  <w:style w:type="character" w:customStyle="1" w:styleId="43">
    <w:name w:val="正文文本缩进 2 Char"/>
    <w:basedOn w:val="17"/>
    <w:link w:val="7"/>
    <w:qFormat/>
    <w:uiPriority w:val="0"/>
    <w:rPr>
      <w:kern w:val="2"/>
      <w:sz w:val="21"/>
      <w:szCs w:val="24"/>
    </w:rPr>
  </w:style>
  <w:style w:type="paragraph" w:customStyle="1" w:styleId="44">
    <w:name w:val="FWB_L1"/>
    <w:basedOn w:val="1"/>
    <w:next w:val="45"/>
    <w:qFormat/>
    <w:uiPriority w:val="0"/>
    <w:pPr>
      <w:keepNext/>
      <w:keepLines/>
      <w:widowControl/>
      <w:numPr>
        <w:ilvl w:val="0"/>
        <w:numId w:val="3"/>
      </w:numPr>
      <w:spacing w:after="240"/>
      <w:jc w:val="left"/>
      <w:outlineLvl w:val="0"/>
    </w:pPr>
    <w:rPr>
      <w:b/>
      <w:smallCaps/>
      <w:kern w:val="0"/>
      <w:sz w:val="24"/>
      <w:szCs w:val="20"/>
      <w:lang w:val="en-GB" w:eastAsia="en-US"/>
    </w:rPr>
  </w:style>
  <w:style w:type="paragraph" w:customStyle="1" w:styleId="45">
    <w:name w:val="FWB_L2"/>
    <w:basedOn w:val="44"/>
    <w:qFormat/>
    <w:uiPriority w:val="0"/>
    <w:pPr>
      <w:keepNext w:val="0"/>
      <w:keepLines w:val="0"/>
      <w:numPr>
        <w:ilvl w:val="1"/>
      </w:numPr>
      <w:jc w:val="both"/>
      <w:outlineLvl w:val="9"/>
    </w:pPr>
    <w:rPr>
      <w:b w:val="0"/>
      <w:smallCaps w:val="0"/>
    </w:rPr>
  </w:style>
  <w:style w:type="paragraph" w:customStyle="1" w:styleId="46">
    <w:name w:val="FWB_L3"/>
    <w:basedOn w:val="45"/>
    <w:qFormat/>
    <w:uiPriority w:val="0"/>
    <w:pPr>
      <w:numPr>
        <w:ilvl w:val="2"/>
      </w:numPr>
    </w:pPr>
  </w:style>
  <w:style w:type="paragraph" w:customStyle="1" w:styleId="47">
    <w:name w:val="FWB_L4"/>
    <w:basedOn w:val="46"/>
    <w:qFormat/>
    <w:uiPriority w:val="0"/>
    <w:pPr>
      <w:numPr>
        <w:ilvl w:val="3"/>
      </w:numPr>
    </w:pPr>
  </w:style>
  <w:style w:type="paragraph" w:customStyle="1" w:styleId="48">
    <w:name w:val="FWB_L5"/>
    <w:basedOn w:val="47"/>
    <w:qFormat/>
    <w:uiPriority w:val="0"/>
    <w:pPr>
      <w:numPr>
        <w:ilvl w:val="4"/>
      </w:numPr>
    </w:pPr>
  </w:style>
  <w:style w:type="paragraph" w:customStyle="1" w:styleId="49">
    <w:name w:val="FWB_L6"/>
    <w:basedOn w:val="48"/>
    <w:qFormat/>
    <w:uiPriority w:val="0"/>
    <w:pPr>
      <w:numPr>
        <w:ilvl w:val="5"/>
      </w:numPr>
    </w:pPr>
  </w:style>
  <w:style w:type="paragraph" w:customStyle="1" w:styleId="50">
    <w:name w:val="FWB_L7"/>
    <w:basedOn w:val="49"/>
    <w:qFormat/>
    <w:uiPriority w:val="0"/>
    <w:pPr>
      <w:numPr>
        <w:ilvl w:val="6"/>
      </w:numPr>
    </w:pPr>
  </w:style>
  <w:style w:type="paragraph" w:customStyle="1" w:styleId="51">
    <w:name w:val="FWB_L8"/>
    <w:basedOn w:val="50"/>
    <w:qFormat/>
    <w:uiPriority w:val="0"/>
    <w:pPr>
      <w:numPr>
        <w:ilvl w:val="7"/>
      </w:numPr>
    </w:pPr>
  </w:style>
  <w:style w:type="paragraph" w:customStyle="1" w:styleId="52">
    <w:name w:val="正文样式"/>
    <w:basedOn w:val="1"/>
    <w:qFormat/>
    <w:uiPriority w:val="0"/>
    <w:pPr>
      <w:ind w:left="-3" w:leftChars="-1"/>
    </w:pPr>
    <w:rPr>
      <w:rFonts w:ascii="仿宋_GB2312" w:eastAsia="仿宋_GB2312"/>
      <w:color w:val="000000"/>
      <w:spacing w:val="6"/>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4355</Words>
  <Characters>24827</Characters>
  <Lines>206</Lines>
  <Paragraphs>58</Paragraphs>
  <TotalTime>3</TotalTime>
  <ScaleCrop>false</ScaleCrop>
  <LinksUpToDate>false</LinksUpToDate>
  <CharactersWithSpaces>29124</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2021-05-28T09:44:00Z</dcterms:created>
  <dc:creator>孟新</dc:creator>
  <cp:lastModifiedBy>洪力网张海峰18678653936</cp:lastModifiedBy>
  <cp:lastPrinted>2022-01-28T07:06:00Z</cp:lastPrinted>
  <dcterms:modified xsi:type="dcterms:W3CDTF">2022-01-28T23:08:33Z</dcterms:modified>
  <dc:title>编号：中长资（　　）合字［　　］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D61BC8B3C6A9420A97DC3F858BD1E607</vt:lpwstr>
  </property>
</Properties>
</file>